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8D" w:rsidRDefault="00287FB3" w:rsidP="005551FA">
      <w:pPr>
        <w:jc w:val="center"/>
      </w:pPr>
      <w:r>
        <w:t>CHAPTER</w:t>
      </w:r>
      <w:r w:rsidR="00845E65">
        <w:t xml:space="preserve"> </w:t>
      </w:r>
      <w:r w:rsidR="00944FF0">
        <w:t>1</w:t>
      </w:r>
      <w:r>
        <w:t xml:space="preserve">: </w:t>
      </w:r>
      <w:r w:rsidR="00944FF0">
        <w:t>INTRODUCTION</w:t>
      </w:r>
    </w:p>
    <w:p w:rsidR="005551FA" w:rsidRDefault="005551FA" w:rsidP="005551FA">
      <w:pPr>
        <w:jc w:val="center"/>
      </w:pPr>
    </w:p>
    <w:p w:rsidR="005551FA" w:rsidRDefault="005551FA" w:rsidP="005551FA">
      <w:pPr>
        <w:jc w:val="center"/>
      </w:pPr>
    </w:p>
    <w:p w:rsidR="005551FA" w:rsidRDefault="005551FA" w:rsidP="005551FA">
      <w:pPr>
        <w:jc w:val="center"/>
      </w:pPr>
    </w:p>
    <w:p w:rsidR="00C44AA6" w:rsidRPr="00FC0F26" w:rsidRDefault="00BC012E" w:rsidP="00BB1CDA">
      <w:pPr>
        <w:spacing w:line="480" w:lineRule="auto"/>
        <w:jc w:val="center"/>
        <w:rPr>
          <w:u w:val="single"/>
        </w:rPr>
      </w:pPr>
      <w:r>
        <w:rPr>
          <w:u w:val="single"/>
        </w:rPr>
        <w:t xml:space="preserve">An </w:t>
      </w:r>
      <w:r w:rsidR="00C93CC3">
        <w:rPr>
          <w:u w:val="single"/>
        </w:rPr>
        <w:t xml:space="preserve">Introduction </w:t>
      </w:r>
      <w:r w:rsidR="00701050">
        <w:rPr>
          <w:u w:val="single"/>
        </w:rPr>
        <w:t xml:space="preserve">to the Research Problem </w:t>
      </w:r>
    </w:p>
    <w:p w:rsidR="00252C47" w:rsidRDefault="00A23ABF" w:rsidP="00BB1CDA">
      <w:pPr>
        <w:pStyle w:val="ListeParagraf"/>
        <w:spacing w:line="480" w:lineRule="auto"/>
        <w:ind w:left="0"/>
        <w:rPr>
          <w:rFonts w:cs="Times New Roman"/>
        </w:rPr>
      </w:pPr>
      <w:r w:rsidRPr="000325B3">
        <w:rPr>
          <w:rFonts w:cs="Times New Roman"/>
        </w:rPr>
        <w:t xml:space="preserve">Lloyd, Byrne, and McCoy (2012) </w:t>
      </w:r>
      <w:r w:rsidR="001B21AE">
        <w:rPr>
          <w:rFonts w:cs="Times New Roman"/>
        </w:rPr>
        <w:t xml:space="preserve">pointed to </w:t>
      </w:r>
      <w:r w:rsidRPr="000325B3">
        <w:rPr>
          <w:rFonts w:cs="Times New Roman"/>
        </w:rPr>
        <w:t xml:space="preserve">the </w:t>
      </w:r>
      <w:r w:rsidR="004570D1">
        <w:rPr>
          <w:rFonts w:cs="Times New Roman"/>
        </w:rPr>
        <w:t>highly growing</w:t>
      </w:r>
      <w:r w:rsidRPr="000325B3">
        <w:rPr>
          <w:rFonts w:cs="Times New Roman"/>
        </w:rPr>
        <w:t xml:space="preserve"> </w:t>
      </w:r>
      <w:r w:rsidR="007E4BE0">
        <w:rPr>
          <w:rFonts w:cs="Times New Roman"/>
        </w:rPr>
        <w:t>amount</w:t>
      </w:r>
      <w:r w:rsidR="00B90D7B">
        <w:rPr>
          <w:rFonts w:cs="Times New Roman"/>
        </w:rPr>
        <w:t>s</w:t>
      </w:r>
      <w:r w:rsidR="007E4BE0">
        <w:rPr>
          <w:rFonts w:cs="Times New Roman"/>
        </w:rPr>
        <w:t xml:space="preserve"> of request</w:t>
      </w:r>
      <w:r w:rsidRPr="000325B3">
        <w:rPr>
          <w:rFonts w:cs="Times New Roman"/>
        </w:rPr>
        <w:t xml:space="preserve"> for</w:t>
      </w:r>
      <w:r w:rsidR="00700053">
        <w:rPr>
          <w:rFonts w:cs="Times New Roman"/>
        </w:rPr>
        <w:t>,</w:t>
      </w:r>
      <w:r w:rsidR="004570D1">
        <w:rPr>
          <w:rFonts w:cs="Times New Roman"/>
        </w:rPr>
        <w:t xml:space="preserve"> </w:t>
      </w:r>
      <w:r w:rsidR="00700053">
        <w:rPr>
          <w:rFonts w:cs="Times New Roman"/>
        </w:rPr>
        <w:t xml:space="preserve">and </w:t>
      </w:r>
      <w:r w:rsidR="004570D1">
        <w:rPr>
          <w:rFonts w:cs="Times New Roman"/>
        </w:rPr>
        <w:t>interest in</w:t>
      </w:r>
      <w:r w:rsidRPr="000325B3">
        <w:rPr>
          <w:rFonts w:cs="Times New Roman"/>
        </w:rPr>
        <w:t xml:space="preserve"> online higher education or online courses offered at the higher education level. Similarly, Allen and Seaman (2013) </w:t>
      </w:r>
      <w:r w:rsidR="00B528FD" w:rsidRPr="000325B3">
        <w:rPr>
          <w:rFonts w:cs="Times New Roman"/>
        </w:rPr>
        <w:t xml:space="preserve">reported that according to 69.1 % </w:t>
      </w:r>
      <w:r w:rsidR="00B528FD">
        <w:rPr>
          <w:rFonts w:cs="Times New Roman"/>
        </w:rPr>
        <w:t>of “chief academic leaders”</w:t>
      </w:r>
      <w:r w:rsidR="00B528FD" w:rsidRPr="000325B3">
        <w:rPr>
          <w:rFonts w:cs="Times New Roman"/>
        </w:rPr>
        <w:t>, online education is of crucial importance to their long term strategy in 2012</w:t>
      </w:r>
      <w:r w:rsidR="00B528FD">
        <w:rPr>
          <w:rFonts w:cs="Times New Roman"/>
        </w:rPr>
        <w:t xml:space="preserve"> (p. 4), and </w:t>
      </w:r>
      <w:r w:rsidRPr="000325B3">
        <w:rPr>
          <w:rFonts w:cs="Times New Roman"/>
        </w:rPr>
        <w:t xml:space="preserve">referred to the number of over 6.7 million students enrolled in at least one online course, which </w:t>
      </w:r>
      <w:r w:rsidR="00BA4EE5">
        <w:rPr>
          <w:rFonts w:cs="Times New Roman"/>
        </w:rPr>
        <w:t>aligns well</w:t>
      </w:r>
      <w:r w:rsidRPr="000325B3">
        <w:rPr>
          <w:rFonts w:cs="Times New Roman"/>
        </w:rPr>
        <w:t xml:space="preserve"> with the earlier increasing rates for online education (Allen &amp; Seaman, 2006, 2007, 2010, 2011).</w:t>
      </w:r>
      <w:r w:rsidR="00A3088A">
        <w:rPr>
          <w:rFonts w:cs="Times New Roman"/>
        </w:rPr>
        <w:t xml:space="preserve"> Moreover, compared to the overall increase rate of higher education</w:t>
      </w:r>
      <w:r w:rsidR="0003642A">
        <w:rPr>
          <w:rFonts w:cs="Times New Roman"/>
        </w:rPr>
        <w:t xml:space="preserve"> enrollments</w:t>
      </w:r>
      <w:r w:rsidR="00A3088A">
        <w:rPr>
          <w:rFonts w:cs="Times New Roman"/>
        </w:rPr>
        <w:t xml:space="preserve"> in </w:t>
      </w:r>
      <w:r w:rsidR="00960492">
        <w:rPr>
          <w:rFonts w:cs="Times New Roman"/>
        </w:rPr>
        <w:t>fall</w:t>
      </w:r>
      <w:r w:rsidR="0003642A">
        <w:rPr>
          <w:rFonts w:cs="Times New Roman"/>
        </w:rPr>
        <w:t xml:space="preserve"> </w:t>
      </w:r>
      <w:r w:rsidR="00A3088A">
        <w:rPr>
          <w:rFonts w:cs="Times New Roman"/>
        </w:rPr>
        <w:t>201</w:t>
      </w:r>
      <w:r w:rsidR="0003642A">
        <w:rPr>
          <w:rFonts w:cs="Times New Roman"/>
        </w:rPr>
        <w:t>1</w:t>
      </w:r>
      <w:r w:rsidR="00A3088A">
        <w:rPr>
          <w:rFonts w:cs="Times New Roman"/>
        </w:rPr>
        <w:t xml:space="preserve">, </w:t>
      </w:r>
      <w:r w:rsidRPr="000325B3">
        <w:rPr>
          <w:rFonts w:cs="Times New Roman"/>
        </w:rPr>
        <w:t xml:space="preserve">the overall increase rate in online education (9.3%) has been a lot greater (Allen &amp; Seaman, 2013). A similar trend has also held true for K-12 education as well (Means, Toyama, Murphy, </w:t>
      </w:r>
      <w:proofErr w:type="spellStart"/>
      <w:r w:rsidRPr="000325B3">
        <w:rPr>
          <w:rFonts w:cs="Times New Roman"/>
        </w:rPr>
        <w:t>Bakia</w:t>
      </w:r>
      <w:proofErr w:type="spellEnd"/>
      <w:r w:rsidRPr="000325B3">
        <w:rPr>
          <w:rFonts w:cs="Times New Roman"/>
        </w:rPr>
        <w:t>, &amp; Jones, 2</w:t>
      </w:r>
      <w:r w:rsidR="00A62400">
        <w:rPr>
          <w:rFonts w:cs="Times New Roman"/>
        </w:rPr>
        <w:t xml:space="preserve">010). </w:t>
      </w:r>
      <w:r w:rsidR="005321B7">
        <w:rPr>
          <w:rFonts w:cs="Times New Roman"/>
        </w:rPr>
        <w:t>Consequently</w:t>
      </w:r>
      <w:r w:rsidR="005321B7" w:rsidRPr="000325B3">
        <w:rPr>
          <w:rFonts w:cs="Times New Roman"/>
        </w:rPr>
        <w:t xml:space="preserve">, Means et al. (2010) claimed that policy makers and practitioners need to have more knowledge about the effectiveness of online education. </w:t>
      </w:r>
      <w:r w:rsidR="005321B7">
        <w:rPr>
          <w:rFonts w:cs="Times New Roman"/>
        </w:rPr>
        <w:t>This suggests that the increasing growth of online education has naturally led to concerns about its effectiveness in terms of learning processes and consequences.</w:t>
      </w:r>
    </w:p>
    <w:p w:rsidR="004C43AF" w:rsidRDefault="004C43AF" w:rsidP="00BB1CDA">
      <w:pPr>
        <w:pStyle w:val="ListeParagraf"/>
        <w:spacing w:line="480" w:lineRule="auto"/>
        <w:ind w:left="0"/>
        <w:rPr>
          <w:rFonts w:cs="Times New Roman"/>
        </w:rPr>
        <w:sectPr w:rsidR="004C43AF" w:rsidSect="00C44AA6">
          <w:headerReference w:type="default" r:id="rId8"/>
          <w:pgSz w:w="12240" w:h="15840" w:code="1"/>
          <w:pgMar w:top="2880" w:right="1440" w:bottom="1797" w:left="2160" w:header="709" w:footer="709" w:gutter="0"/>
          <w:cols w:space="708"/>
          <w:docGrid w:linePitch="360"/>
        </w:sectPr>
      </w:pPr>
    </w:p>
    <w:p w:rsidR="004C43AF" w:rsidRPr="0085761F" w:rsidRDefault="004C43AF" w:rsidP="004C43AF">
      <w:pPr>
        <w:spacing w:line="480" w:lineRule="auto"/>
      </w:pPr>
      <w:r>
        <w:lastRenderedPageBreak/>
        <w:t xml:space="preserve">In the ever-growing market of online education in higher education where the growth rate is almost ten times higher than traditional higher education (Shea &amp; Bidjerano, 2009a), it seems to be important to increase effectiveness of learning. Previous research also indicated that drop-out rate is </w:t>
      </w:r>
      <w:r w:rsidR="009D399B">
        <w:t>higher in</w:t>
      </w:r>
      <w:r>
        <w:t xml:space="preserve"> distance education compared to traditional higher education (</w:t>
      </w:r>
      <w:r w:rsidRPr="00587BCF">
        <w:t xml:space="preserve">Bernard, </w:t>
      </w:r>
      <w:proofErr w:type="spellStart"/>
      <w:r w:rsidRPr="00587BCF">
        <w:t>Abrami</w:t>
      </w:r>
      <w:proofErr w:type="spellEnd"/>
      <w:r w:rsidRPr="00587BCF">
        <w:t xml:space="preserve">, Lou, &amp; </w:t>
      </w:r>
      <w:proofErr w:type="spellStart"/>
      <w:r w:rsidRPr="00587BCF">
        <w:t>Borokhovski</w:t>
      </w:r>
      <w:proofErr w:type="spellEnd"/>
      <w:r w:rsidRPr="00587BCF">
        <w:t xml:space="preserve">, 2004; </w:t>
      </w:r>
      <w:r>
        <w:t xml:space="preserve">Boston et al., 2009; </w:t>
      </w:r>
      <w:r w:rsidRPr="00587BCF">
        <w:t>Carr, 2000;</w:t>
      </w:r>
      <w:r>
        <w:t xml:space="preserve"> Ice, Gibson, Boston, &amp; </w:t>
      </w:r>
      <w:proofErr w:type="spellStart"/>
      <w:r>
        <w:t>Becher</w:t>
      </w:r>
      <w:proofErr w:type="spellEnd"/>
      <w:r>
        <w:t xml:space="preserve">, 2011; </w:t>
      </w:r>
      <w:r w:rsidRPr="00587BCF">
        <w:t>Parker, 2003; Wilson, 2008)</w:t>
      </w:r>
      <w:r>
        <w:t>.</w:t>
      </w:r>
      <w:r w:rsidRPr="0085761F">
        <w:t xml:space="preserve"> </w:t>
      </w:r>
      <w:r>
        <w:t>In addition, there has been research showing that</w:t>
      </w:r>
      <w:r w:rsidRPr="00587BCF">
        <w:t xml:space="preserve"> some factors </w:t>
      </w:r>
      <w:r>
        <w:t xml:space="preserve">positively </w:t>
      </w:r>
      <w:r w:rsidRPr="00587BCF">
        <w:t xml:space="preserve">affect student persistence </w:t>
      </w:r>
      <w:r>
        <w:t>including</w:t>
      </w:r>
      <w:r w:rsidRPr="00587BCF">
        <w:t xml:space="preserve"> </w:t>
      </w:r>
      <w:r>
        <w:t>quality interaction and feedback</w:t>
      </w:r>
      <w:r w:rsidRPr="00587BCF">
        <w:t xml:space="preserve"> (</w:t>
      </w:r>
      <w:proofErr w:type="spellStart"/>
      <w:r w:rsidRPr="00587BCF">
        <w:t>Ivankova</w:t>
      </w:r>
      <w:proofErr w:type="spellEnd"/>
      <w:r w:rsidRPr="00587BCF">
        <w:t xml:space="preserve"> &amp; Stick, 2007</w:t>
      </w:r>
      <w:r>
        <w:t xml:space="preserve">; </w:t>
      </w:r>
      <w:proofErr w:type="spellStart"/>
      <w:r>
        <w:t>Ojokheta</w:t>
      </w:r>
      <w:proofErr w:type="spellEnd"/>
      <w:r>
        <w:t>, 2010</w:t>
      </w:r>
      <w:r w:rsidRPr="00587BCF">
        <w:t xml:space="preserve">) </w:t>
      </w:r>
      <w:r>
        <w:t>as well as the</w:t>
      </w:r>
      <w:r w:rsidRPr="00587BCF">
        <w:t xml:space="preserve"> relevance of the content and learner satisfaction (</w:t>
      </w:r>
      <w:proofErr w:type="spellStart"/>
      <w:r w:rsidRPr="00587BCF">
        <w:t>Ivankova</w:t>
      </w:r>
      <w:proofErr w:type="spellEnd"/>
      <w:r w:rsidRPr="00587BCF">
        <w:t xml:space="preserve"> &amp; Stick, 2007; Levy, 2007; </w:t>
      </w:r>
      <w:proofErr w:type="spellStart"/>
      <w:r w:rsidRPr="00587BCF">
        <w:t>Müller</w:t>
      </w:r>
      <w:proofErr w:type="spellEnd"/>
      <w:r w:rsidRPr="00587BCF">
        <w:t xml:space="preserve">, 2008; Park &amp; </w:t>
      </w:r>
      <w:proofErr w:type="spellStart"/>
      <w:r w:rsidRPr="00587BCF">
        <w:t>Choi</w:t>
      </w:r>
      <w:proofErr w:type="spellEnd"/>
      <w:r w:rsidRPr="00587BCF">
        <w:t>, 2009).</w:t>
      </w:r>
      <w:r>
        <w:t xml:space="preserve"> </w:t>
      </w:r>
      <w:r>
        <w:rPr>
          <w:rFonts w:cs="Times New Roman"/>
        </w:rPr>
        <w:tab/>
      </w:r>
    </w:p>
    <w:p w:rsidR="004C43AF" w:rsidRDefault="004C43AF" w:rsidP="004C43AF">
      <w:pPr>
        <w:pStyle w:val="ListeParagraf"/>
        <w:spacing w:line="480" w:lineRule="auto"/>
        <w:ind w:left="0"/>
      </w:pPr>
      <w:r>
        <w:rPr>
          <w:rFonts w:cs="Times New Roman"/>
        </w:rPr>
        <w:t xml:space="preserve">Further, given that earlier research on distance education using technologies including educational television and videoconferencing revealed no better effectiveness of these compared to traditional in-class learning (Means et al., 2010), concerns about effectiveness appear to be totally legitimate. Allen and Seaman (2013) reported that: (a) there has been an increase in the number of academic leaders (77%) who consider learning outcomes associated with online learning to be the same or better than those with face-to-face; (b) there is still 23% of leaders who view face-to-face learning superior over online learning at higher education level. Among these chief academics in higher education, the same report also stated that only 30.2 % of leaders claimed that faculty </w:t>
      </w:r>
      <w:r>
        <w:t xml:space="preserve">members of their institutions accepted “the value and legitimacy of online education.” (p. 6). </w:t>
      </w:r>
    </w:p>
    <w:p w:rsidR="004C43AF" w:rsidRDefault="004C43AF" w:rsidP="004C43AF">
      <w:pPr>
        <w:pStyle w:val="ListeParagraf"/>
        <w:spacing w:line="480" w:lineRule="auto"/>
        <w:ind w:left="0"/>
        <w:rPr>
          <w:rFonts w:cs="Times New Roman"/>
          <w:szCs w:val="24"/>
        </w:rPr>
      </w:pPr>
      <w:r>
        <w:t xml:space="preserve">All these seem to warrant gaining further insights into the effectiveness of online education. To this end, two theoretical frameworks can effectively inform future research </w:t>
      </w:r>
      <w:r>
        <w:lastRenderedPageBreak/>
        <w:t xml:space="preserve">attempts: </w:t>
      </w:r>
      <w:r>
        <w:rPr>
          <w:rFonts w:cs="Times New Roman"/>
        </w:rPr>
        <w:t>Community of inquiry f</w:t>
      </w:r>
      <w:r w:rsidRPr="00697926">
        <w:rPr>
          <w:rFonts w:cs="Times New Roman"/>
        </w:rPr>
        <w:t>ramework</w:t>
      </w:r>
      <w:r>
        <w:rPr>
          <w:rFonts w:cs="Times New Roman"/>
        </w:rPr>
        <w:t xml:space="preserve"> (</w:t>
      </w:r>
      <w:r w:rsidRPr="00211634">
        <w:rPr>
          <w:rFonts w:cs="Times New Roman"/>
          <w:szCs w:val="24"/>
        </w:rPr>
        <w:t>Garrison &amp; Akyol, 2013</w:t>
      </w:r>
      <w:r>
        <w:rPr>
          <w:rFonts w:cs="Times New Roman"/>
          <w:szCs w:val="24"/>
        </w:rPr>
        <w:t>a, 2013b</w:t>
      </w:r>
      <w:r w:rsidRPr="006A6C08">
        <w:rPr>
          <w:rFonts w:cs="Times New Roman"/>
          <w:szCs w:val="24"/>
        </w:rPr>
        <w:t>;</w:t>
      </w:r>
      <w:r>
        <w:rPr>
          <w:rFonts w:cs="Times New Roman"/>
          <w:szCs w:val="24"/>
        </w:rPr>
        <w:t xml:space="preserve"> </w:t>
      </w:r>
      <w:r>
        <w:t xml:space="preserve">Garrison, Anderson, Archer, 2000, 2001, 2010; </w:t>
      </w:r>
      <w:r w:rsidRPr="006A6C08">
        <w:rPr>
          <w:rFonts w:cs="Times New Roman"/>
          <w:szCs w:val="24"/>
        </w:rPr>
        <w:t xml:space="preserve">Garrison &amp; </w:t>
      </w:r>
      <w:r>
        <w:rPr>
          <w:rFonts w:cs="Times New Roman"/>
          <w:szCs w:val="24"/>
        </w:rPr>
        <w:t>Arbaugh</w:t>
      </w:r>
      <w:r w:rsidRPr="006A6C08">
        <w:rPr>
          <w:rFonts w:cs="Times New Roman"/>
          <w:szCs w:val="24"/>
        </w:rPr>
        <w:t>, 2007</w:t>
      </w:r>
      <w:r>
        <w:t xml:space="preserve">) </w:t>
      </w:r>
      <w:r>
        <w:rPr>
          <w:rFonts w:cs="Times New Roman"/>
        </w:rPr>
        <w:t>and cognitive load theory (</w:t>
      </w:r>
      <w:r w:rsidRPr="006A6C08">
        <w:rPr>
          <w:rFonts w:cs="Times New Roman"/>
          <w:szCs w:val="24"/>
        </w:rPr>
        <w:t>Sweller, 1988, 1994, 2005</w:t>
      </w:r>
      <w:r>
        <w:rPr>
          <w:rFonts w:cs="Times New Roman"/>
          <w:szCs w:val="24"/>
        </w:rPr>
        <w:t>, 2010</w:t>
      </w:r>
      <w:r w:rsidRPr="006A6C08">
        <w:rPr>
          <w:rFonts w:cs="Times New Roman"/>
          <w:szCs w:val="24"/>
        </w:rPr>
        <w:t xml:space="preserve">; </w:t>
      </w:r>
      <w:r>
        <w:rPr>
          <w:rFonts w:cs="Times New Roman"/>
          <w:szCs w:val="24"/>
        </w:rPr>
        <w:t xml:space="preserve">Sweller, Ayres, &amp; Kalyuga, 2011; </w:t>
      </w:r>
      <w:r w:rsidRPr="006A6C08">
        <w:rPr>
          <w:rFonts w:cs="Times New Roman"/>
          <w:szCs w:val="24"/>
        </w:rPr>
        <w:t>Sweller, van Merriënboer, &amp; Paas, 1998</w:t>
      </w:r>
      <w:r>
        <w:rPr>
          <w:rFonts w:cs="Times New Roman"/>
          <w:szCs w:val="24"/>
        </w:rPr>
        <w:t xml:space="preserve">). Focusing on three presence types, teaching presence, cognitive presence, and social presence, community of inquiry framework aims at creating and sustaining effective learning environments. Similarly, cognitive load theory purports to produce instructional guidelines that bypass the limitations of human cognitive architecture in order to foster learning outcomes. As a result, using both theories while evaluating effectiveness of an online learning environment might provide complementary results that would help us diagnose how to enhance online learning outcomes. </w:t>
      </w:r>
    </w:p>
    <w:p w:rsidR="004C43AF" w:rsidRDefault="004C43AF" w:rsidP="004C43AF">
      <w:pPr>
        <w:spacing w:line="480" w:lineRule="auto"/>
      </w:pPr>
      <w:r>
        <w:t>Speaking of these two theories, the concept of presence is at the heart of community of inquiry framework (CoI framework): (a) Social pre</w:t>
      </w:r>
      <w:r w:rsidR="00041106">
        <w:t>sence; (b) teaching presence; (c</w:t>
      </w:r>
      <w:r>
        <w:t xml:space="preserve">) cognitive presence. Social presence is the extent to which members of a community can reflect themselves into the group dynamics thereby participating in group work as actual people (Garrison et al., 2000). Further, cognitive presence refers to the extent a group of learners are able to build and validate meaning or understanding continuous critical communication and thinking (Garrison et al., 2000, 2001). Finally teaching presence encompasses designing and facilitating necessary cognitive and social processes in order to enhance learning consequences (Garrison et al., 2000; Anderson, </w:t>
      </w:r>
      <w:proofErr w:type="spellStart"/>
      <w:r>
        <w:t>Rourke</w:t>
      </w:r>
      <w:proofErr w:type="spellEnd"/>
      <w:r>
        <w:t xml:space="preserve">, Garrison, &amp; Archer, 2001). </w:t>
      </w:r>
    </w:p>
    <w:p w:rsidR="004C43AF" w:rsidRDefault="004C43AF" w:rsidP="004C43AF">
      <w:pPr>
        <w:spacing w:line="480" w:lineRule="auto"/>
        <w:rPr>
          <w:rFonts w:cs="Times New Roman"/>
        </w:rPr>
      </w:pPr>
      <w:r>
        <w:t xml:space="preserve">According to Garrison et al. (2000), learning happens in a critical community of inquiry where all presences, social, cognitive, and teaching, exist and interacts with each </w:t>
      </w:r>
      <w:r>
        <w:lastRenderedPageBreak/>
        <w:t xml:space="preserve">other. In other words, meaningful learning experiences occur in the common intersection of social presence, cognitive presence and teaching presence, which entails the existence of the three types of presences in a learning environment. Therefore, naturally, </w:t>
      </w:r>
      <w:r w:rsidRPr="000325B3">
        <w:rPr>
          <w:rFonts w:cs="Times New Roman"/>
        </w:rPr>
        <w:t xml:space="preserve">one </w:t>
      </w:r>
      <w:r>
        <w:rPr>
          <w:rFonts w:cs="Times New Roman"/>
        </w:rPr>
        <w:t>basic tenet</w:t>
      </w:r>
      <w:r w:rsidRPr="000325B3">
        <w:rPr>
          <w:rFonts w:cs="Times New Roman"/>
        </w:rPr>
        <w:t xml:space="preserve"> of </w:t>
      </w:r>
      <w:r>
        <w:rPr>
          <w:rFonts w:cs="Times New Roman"/>
        </w:rPr>
        <w:t>the CoI f</w:t>
      </w:r>
      <w:r w:rsidRPr="000325B3">
        <w:rPr>
          <w:rFonts w:cs="Times New Roman"/>
        </w:rPr>
        <w:t>ramework is that higher levels of social, cognitive and teaching presence can result in better learning</w:t>
      </w:r>
      <w:r>
        <w:rPr>
          <w:rFonts w:cs="Times New Roman"/>
        </w:rPr>
        <w:t>. That is</w:t>
      </w:r>
      <w:r w:rsidRPr="000325B3">
        <w:rPr>
          <w:rFonts w:cs="Times New Roman"/>
        </w:rPr>
        <w:t>, increasing levels of presence may be associable with increasing levels of learning.</w:t>
      </w:r>
    </w:p>
    <w:p w:rsidR="004C43AF" w:rsidRDefault="004C43AF" w:rsidP="004C43AF">
      <w:pPr>
        <w:spacing w:line="480" w:lineRule="auto"/>
        <w:rPr>
          <w:rFonts w:cs="Times New Roman"/>
          <w:szCs w:val="24"/>
        </w:rPr>
      </w:pPr>
      <w:r>
        <w:rPr>
          <w:rFonts w:cs="Times New Roman"/>
        </w:rPr>
        <w:t>As for cognitive load theory (CL theory), it depends on t</w:t>
      </w:r>
      <w:r>
        <w:rPr>
          <w:rFonts w:cs="Times New Roman"/>
          <w:szCs w:val="24"/>
        </w:rPr>
        <w:t xml:space="preserve">he construct of “cognitive load”. Cognitive load is created and taxed to human cognition by performing specific tasks (Sweller et al., 1998). There are three types of cognitive load: intrinsic, extraneous, and germane </w:t>
      </w:r>
      <w:r w:rsidRPr="00E71574">
        <w:rPr>
          <w:rFonts w:cs="Times New Roman"/>
          <w:szCs w:val="24"/>
        </w:rPr>
        <w:t>(Sweller, 1994).</w:t>
      </w:r>
      <w:r>
        <w:rPr>
          <w:rFonts w:cs="Times New Roman"/>
          <w:szCs w:val="24"/>
        </w:rPr>
        <w:t xml:space="preserve"> Intrinsic load is imposed by the inner structure of learning materials, which is based on the number of interacting information elements. According to </w:t>
      </w:r>
      <w:r w:rsidRPr="007F0570">
        <w:rPr>
          <w:rFonts w:cs="Times New Roman"/>
          <w:szCs w:val="24"/>
        </w:rPr>
        <w:t>Leahy, Chandler and Sweller (2003</w:t>
      </w:r>
      <w:r>
        <w:rPr>
          <w:rFonts w:cs="Times New Roman"/>
          <w:szCs w:val="24"/>
        </w:rPr>
        <w:t xml:space="preserve">), </w:t>
      </w:r>
      <w:r w:rsidR="0092093A">
        <w:rPr>
          <w:rFonts w:cs="Times New Roman"/>
          <w:szCs w:val="24"/>
        </w:rPr>
        <w:t xml:space="preserve">working memory can process </w:t>
      </w:r>
      <w:r w:rsidRPr="00243F14">
        <w:rPr>
          <w:rFonts w:cs="Times New Roman"/>
          <w:szCs w:val="24"/>
        </w:rPr>
        <w:t xml:space="preserve">an </w:t>
      </w:r>
      <w:r>
        <w:rPr>
          <w:rFonts w:cs="Times New Roman"/>
          <w:szCs w:val="24"/>
        </w:rPr>
        <w:t>information element</w:t>
      </w:r>
      <w:r w:rsidR="0092093A">
        <w:rPr>
          <w:rFonts w:cs="Times New Roman"/>
          <w:szCs w:val="24"/>
        </w:rPr>
        <w:t xml:space="preserve"> alone which</w:t>
      </w:r>
      <w:r>
        <w:rPr>
          <w:rFonts w:cs="Times New Roman"/>
          <w:szCs w:val="24"/>
        </w:rPr>
        <w:t xml:space="preserve"> i</w:t>
      </w:r>
      <w:r w:rsidRPr="00243F14">
        <w:rPr>
          <w:rFonts w:cs="Times New Roman"/>
          <w:szCs w:val="24"/>
        </w:rPr>
        <w:t xml:space="preserve">s an </w:t>
      </w:r>
      <w:r>
        <w:rPr>
          <w:rFonts w:cs="Times New Roman"/>
          <w:szCs w:val="24"/>
        </w:rPr>
        <w:t xml:space="preserve">information piece or unit. Extraneous load, on the other hand, is created by poor instructional characteristics (Sweller, 2010) that include presentation styles and the like. Germane load, finally, refers to the amount of resources allocated for dealing with intrinsic load </w:t>
      </w:r>
      <w:r w:rsidRPr="00A1483A">
        <w:rPr>
          <w:rFonts w:cs="Times New Roman"/>
          <w:szCs w:val="24"/>
        </w:rPr>
        <w:t>(Kalyuga, 2011</w:t>
      </w:r>
      <w:r>
        <w:rPr>
          <w:rFonts w:cs="Times New Roman"/>
          <w:szCs w:val="24"/>
        </w:rPr>
        <w:t xml:space="preserve">; Sweller et al., 2011). </w:t>
      </w:r>
    </w:p>
    <w:p w:rsidR="004C43AF" w:rsidRDefault="004C43AF" w:rsidP="004C43AF">
      <w:pPr>
        <w:spacing w:line="480" w:lineRule="auto"/>
      </w:pPr>
      <w:r>
        <w:t xml:space="preserve">Moreover, CL theory assumes that learning in general occurs through a limited working memory capacity that processes and briefly holds information, and an unlimited long term memory that stores processes information. Similarly, according to </w:t>
      </w:r>
      <w:proofErr w:type="spellStart"/>
      <w:r>
        <w:t>Baddeley</w:t>
      </w:r>
      <w:proofErr w:type="spellEnd"/>
      <w:r>
        <w:t xml:space="preserve"> (1992), what is learned or stored in long-term memory is firstly processed by working memory. Human working memory seems to be limited to a certain extent though. For instance, </w:t>
      </w:r>
      <w:r w:rsidRPr="00243F14">
        <w:rPr>
          <w:rFonts w:cs="Times New Roman"/>
          <w:szCs w:val="24"/>
        </w:rPr>
        <w:t>Miller (1956)</w:t>
      </w:r>
      <w:r>
        <w:rPr>
          <w:rFonts w:cs="Times New Roman"/>
          <w:szCs w:val="24"/>
        </w:rPr>
        <w:t xml:space="preserve"> speculated that we</w:t>
      </w:r>
      <w:r w:rsidRPr="00243F14">
        <w:rPr>
          <w:rFonts w:cs="Times New Roman"/>
          <w:szCs w:val="24"/>
        </w:rPr>
        <w:t xml:space="preserve"> </w:t>
      </w:r>
      <w:r>
        <w:rPr>
          <w:rFonts w:cs="Times New Roman"/>
          <w:szCs w:val="24"/>
        </w:rPr>
        <w:t>may not be able to</w:t>
      </w:r>
      <w:r w:rsidRPr="00243F14">
        <w:rPr>
          <w:rFonts w:cs="Times New Roman"/>
          <w:szCs w:val="24"/>
        </w:rPr>
        <w:t xml:space="preserve"> handle more than about seven</w:t>
      </w:r>
      <w:r>
        <w:rPr>
          <w:rFonts w:cs="Times New Roman"/>
          <w:szCs w:val="24"/>
        </w:rPr>
        <w:t xml:space="preserve"> minus or plus two</w:t>
      </w:r>
      <w:r w:rsidRPr="00243F14">
        <w:rPr>
          <w:rFonts w:cs="Times New Roman"/>
          <w:szCs w:val="24"/>
        </w:rPr>
        <w:t xml:space="preserve"> information </w:t>
      </w:r>
      <w:r>
        <w:rPr>
          <w:rFonts w:cs="Times New Roman"/>
          <w:szCs w:val="24"/>
        </w:rPr>
        <w:t>chunks</w:t>
      </w:r>
      <w:r w:rsidRPr="00243F14">
        <w:rPr>
          <w:rFonts w:cs="Times New Roman"/>
          <w:szCs w:val="24"/>
        </w:rPr>
        <w:t xml:space="preserve"> at </w:t>
      </w:r>
      <w:r>
        <w:rPr>
          <w:rFonts w:cs="Times New Roman"/>
          <w:szCs w:val="24"/>
        </w:rPr>
        <w:t>a</w:t>
      </w:r>
      <w:r w:rsidRPr="00243F14">
        <w:rPr>
          <w:rFonts w:cs="Times New Roman"/>
          <w:szCs w:val="24"/>
        </w:rPr>
        <w:t xml:space="preserve"> time.</w:t>
      </w:r>
      <w:r>
        <w:rPr>
          <w:rFonts w:cs="Times New Roman"/>
          <w:szCs w:val="24"/>
        </w:rPr>
        <w:t xml:space="preserve"> Recently, Cowan (2001, 2010) </w:t>
      </w:r>
      <w:r>
        <w:rPr>
          <w:rFonts w:cs="Times New Roman"/>
          <w:szCs w:val="24"/>
        </w:rPr>
        <w:lastRenderedPageBreak/>
        <w:t>argued that central working memory capacity limit can be three to five chunks in adults. As a result, one of the basic assumptions of CL theory is that in order to lead to effective learning, working memory limitations should be addressed by instructional design. T</w:t>
      </w:r>
      <w:r>
        <w:t>hese suggest that when the total cognitive load is beyond the limited working memory capacity, learning may not occur due to the lack of enough amounts of resources that can be allocated for it (Sweller et al., 2011).</w:t>
      </w:r>
    </w:p>
    <w:p w:rsidR="004C43AF" w:rsidRDefault="004C43AF" w:rsidP="004C43AF">
      <w:pPr>
        <w:spacing w:line="480" w:lineRule="auto"/>
        <w:rPr>
          <w:rFonts w:cs="Times New Roman"/>
        </w:rPr>
      </w:pPr>
      <w:r>
        <w:t>Therefore, combining these presence and cognitive load insights, would provide us with more insights into how to increase effectiveness of online learning environments as well as CoI framework and CL theory. Having more to say on this point, the next section presents the research problem more specifically.</w:t>
      </w:r>
      <w:r>
        <w:rPr>
          <w:rFonts w:cs="Times New Roman"/>
        </w:rPr>
        <w:tab/>
      </w:r>
    </w:p>
    <w:p w:rsidR="004C43AF" w:rsidRDefault="004C43AF" w:rsidP="004C43AF">
      <w:pPr>
        <w:jc w:val="center"/>
      </w:pPr>
    </w:p>
    <w:p w:rsidR="004C43AF" w:rsidRDefault="004C43AF" w:rsidP="004C43AF">
      <w:pPr>
        <w:jc w:val="center"/>
      </w:pPr>
    </w:p>
    <w:p w:rsidR="004C43AF" w:rsidRDefault="004C43AF" w:rsidP="004C43AF">
      <w:pPr>
        <w:spacing w:line="360" w:lineRule="auto"/>
        <w:jc w:val="center"/>
        <w:rPr>
          <w:u w:val="single"/>
        </w:rPr>
      </w:pPr>
      <w:r>
        <w:rPr>
          <w:u w:val="single"/>
        </w:rPr>
        <w:t>Statement of the Research Problem</w:t>
      </w:r>
    </w:p>
    <w:p w:rsidR="004C43AF" w:rsidRPr="005F1896" w:rsidRDefault="004C43AF" w:rsidP="004C43AF">
      <w:pPr>
        <w:spacing w:line="480" w:lineRule="auto"/>
        <w:rPr>
          <w:rFonts w:cs="Times New Roman"/>
        </w:rPr>
      </w:pPr>
      <w:r>
        <w:rPr>
          <w:rFonts w:cs="Times New Roman"/>
          <w:szCs w:val="24"/>
        </w:rPr>
        <w:t>Given that previous CoI framework research pointed to the existence of the presences in effective learning environments (</w:t>
      </w:r>
      <w:r w:rsidRPr="006A6C08">
        <w:rPr>
          <w:rFonts w:cs="Times New Roman"/>
          <w:szCs w:val="24"/>
        </w:rPr>
        <w:t xml:space="preserve">Garrison, </w:t>
      </w:r>
      <w:r>
        <w:rPr>
          <w:rFonts w:cs="Times New Roman"/>
          <w:szCs w:val="24"/>
        </w:rPr>
        <w:t>et al.</w:t>
      </w:r>
      <w:r w:rsidRPr="006A6C08">
        <w:rPr>
          <w:rFonts w:cs="Times New Roman"/>
          <w:szCs w:val="24"/>
        </w:rPr>
        <w:t>, 2010</w:t>
      </w:r>
      <w:r>
        <w:rPr>
          <w:rFonts w:cs="Times New Roman"/>
          <w:szCs w:val="24"/>
        </w:rPr>
        <w:t xml:space="preserve">), and that CL theory has informed numerous experimental studies that resulted in evidence-based instructional guidelines leading to better learning (Sweller et al., 2011), </w:t>
      </w:r>
      <w:r w:rsidRPr="006A6C08">
        <w:rPr>
          <w:rFonts w:cs="Times New Roman"/>
          <w:szCs w:val="24"/>
        </w:rPr>
        <w:t xml:space="preserve">it is reasonable to </w:t>
      </w:r>
      <w:r>
        <w:rPr>
          <w:rFonts w:cs="Times New Roman"/>
          <w:szCs w:val="24"/>
        </w:rPr>
        <w:t>expect</w:t>
      </w:r>
      <w:r w:rsidRPr="006A6C08">
        <w:rPr>
          <w:rFonts w:cs="Times New Roman"/>
          <w:szCs w:val="24"/>
        </w:rPr>
        <w:t xml:space="preserve"> that social, teaching and cognitive presences</w:t>
      </w:r>
      <w:r>
        <w:rPr>
          <w:rFonts w:cs="Times New Roman"/>
          <w:szCs w:val="24"/>
        </w:rPr>
        <w:t xml:space="preserve"> can help </w:t>
      </w:r>
      <w:r w:rsidR="00911F6B">
        <w:rPr>
          <w:rFonts w:cs="Times New Roman"/>
          <w:szCs w:val="24"/>
        </w:rPr>
        <w:t>to</w:t>
      </w:r>
      <w:r>
        <w:rPr>
          <w:rFonts w:cs="Times New Roman"/>
          <w:szCs w:val="24"/>
        </w:rPr>
        <w:t xml:space="preserve"> keep cognitive load at an effective level. That is, learning activities enriched by social, teaching and cognitive presences may both impose</w:t>
      </w:r>
      <w:r w:rsidRPr="006A6C08">
        <w:rPr>
          <w:rFonts w:cs="Times New Roman"/>
          <w:szCs w:val="24"/>
        </w:rPr>
        <w:t xml:space="preserve"> a certain amount of </w:t>
      </w:r>
      <w:r>
        <w:rPr>
          <w:rFonts w:cs="Times New Roman"/>
          <w:szCs w:val="24"/>
        </w:rPr>
        <w:t xml:space="preserve">cognitive load </w:t>
      </w:r>
      <w:r w:rsidRPr="006A6C08">
        <w:rPr>
          <w:rFonts w:cs="Times New Roman"/>
          <w:szCs w:val="24"/>
        </w:rPr>
        <w:t xml:space="preserve">and </w:t>
      </w:r>
      <w:r>
        <w:rPr>
          <w:rFonts w:cs="Times New Roman"/>
          <w:szCs w:val="24"/>
        </w:rPr>
        <w:t xml:space="preserve">reduce it to a certain extent whereby enhancing learning. </w:t>
      </w:r>
      <w:r w:rsidRPr="000325B3">
        <w:rPr>
          <w:rFonts w:cs="Times New Roman"/>
        </w:rPr>
        <w:t>T</w:t>
      </w:r>
      <w:r>
        <w:rPr>
          <w:rFonts w:cs="Times New Roman"/>
        </w:rPr>
        <w:t>his study purports to focus on this</w:t>
      </w:r>
      <w:r w:rsidRPr="000325B3">
        <w:rPr>
          <w:rFonts w:cs="Times New Roman"/>
        </w:rPr>
        <w:t xml:space="preserve"> theoretically plausible relationship between p</w:t>
      </w:r>
      <w:r>
        <w:rPr>
          <w:rFonts w:cs="Times New Roman"/>
        </w:rPr>
        <w:t>resence and cognitive load in a graduate level fully online learning environment at a large Midwestern university in the USA.</w:t>
      </w:r>
    </w:p>
    <w:p w:rsidR="004C43AF" w:rsidRDefault="004C43AF" w:rsidP="004C43AF">
      <w:pPr>
        <w:spacing w:line="480" w:lineRule="auto"/>
      </w:pPr>
      <w:r>
        <w:rPr>
          <w:rFonts w:cs="Times New Roman"/>
          <w:szCs w:val="24"/>
        </w:rPr>
        <w:lastRenderedPageBreak/>
        <w:t xml:space="preserve">From a theoretical perspective, </w:t>
      </w:r>
      <w:r w:rsidRPr="00383DED">
        <w:t>Garr</w:t>
      </w:r>
      <w:r>
        <w:t xml:space="preserve">ison (2013) pointed to the need for further examination of the CoI framework thus increasing its “credibility”, which in turn contributes to its power of informing future “online and blended learning”  research (p. 1).  In this regard, Garrison (2013) stated “Explicating and validating such a comprehensive framework is an ongoing challenge.” (p. 2). Therefore, the current study also aimed at examining the CoI framework from a new perspective, a cognitive load perspective. To the best of the author’s knowledge, such an attempt would be the first one. Specifically speaking, this study seeks to explore possible interrelationships that might exist between social, cognitive, and teaching presences, and cognitive load. Moreover, it is also aimed at examining the possible relationships that may exist between presences, cognitive load, and perceived learning and satisfaction in online learning environments. </w:t>
      </w:r>
      <w:r w:rsidR="00F407E8">
        <w:t>This study`s findings</w:t>
      </w:r>
      <w:r>
        <w:t xml:space="preserve"> would provide further insights into both theoretical and practical accountability of the CoI framework and CL theory</w:t>
      </w:r>
      <w:r w:rsidR="00F407E8">
        <w:t>, in the context of online learning</w:t>
      </w:r>
      <w:r>
        <w:t>.</w:t>
      </w:r>
    </w:p>
    <w:p w:rsidR="004C43AF" w:rsidRDefault="004C43AF" w:rsidP="004C43AF">
      <w:pPr>
        <w:spacing w:line="480" w:lineRule="auto"/>
      </w:pPr>
      <w:r>
        <w:t xml:space="preserve">Additionally, some previous research focused on perceived learning, satisfaction and the presences (e.g., </w:t>
      </w:r>
      <w:r w:rsidRPr="00050D9B">
        <w:t>Akyol</w:t>
      </w:r>
      <w:r w:rsidR="00986BFF" w:rsidRPr="00050D9B">
        <w:t xml:space="preserve"> </w:t>
      </w:r>
      <w:r w:rsidRPr="00050D9B">
        <w:t>&amp;</w:t>
      </w:r>
      <w:r w:rsidR="00986BFF" w:rsidRPr="00050D9B">
        <w:t xml:space="preserve"> </w:t>
      </w:r>
      <w:r w:rsidRPr="00050D9B">
        <w:t>Garrison, 2008;</w:t>
      </w:r>
      <w:r>
        <w:t xml:space="preserve"> </w:t>
      </w:r>
      <w:r w:rsidRPr="00050D9B">
        <w:t>Arbaugh, 2008;</w:t>
      </w:r>
      <w:r>
        <w:t xml:space="preserve"> </w:t>
      </w:r>
      <w:r w:rsidRPr="00050D9B">
        <w:t>Shea, Li, Swann &amp; Pickett, 2005).</w:t>
      </w:r>
      <w:r>
        <w:t xml:space="preserve"> There has also been research suggesting that learner satisfaction relates to perceived learning as well (</w:t>
      </w:r>
      <w:proofErr w:type="spellStart"/>
      <w:r>
        <w:t>Fredericksen</w:t>
      </w:r>
      <w:proofErr w:type="spellEnd"/>
      <w:r>
        <w:t xml:space="preserve">, Pickett, Shea, </w:t>
      </w:r>
      <w:proofErr w:type="spellStart"/>
      <w:r>
        <w:t>Pelz</w:t>
      </w:r>
      <w:proofErr w:type="spellEnd"/>
      <w:r>
        <w:t xml:space="preserve"> and Swan, 2000; Richardson &amp; Swan, 2003).These studies, however, did not </w:t>
      </w:r>
      <w:r w:rsidR="00975E26">
        <w:t>handle</w:t>
      </w:r>
      <w:r>
        <w:t xml:space="preserve"> the relationship between the presences and perceived learning and satisfaction by taking cognitive load into account. </w:t>
      </w:r>
    </w:p>
    <w:p w:rsidR="004C43AF" w:rsidRDefault="004C43AF" w:rsidP="004C43AF">
      <w:pPr>
        <w:spacing w:line="480" w:lineRule="auto"/>
      </w:pPr>
      <w:r>
        <w:t xml:space="preserve">Among these, Akyol and Garrison (2008) stated that they employed perceived satisfaction and learning as variables assuming that this would help differentiate between the “roles of social and cognitive presence” (p. 14). In addition to this, there are several </w:t>
      </w:r>
      <w:r>
        <w:lastRenderedPageBreak/>
        <w:t>other reasons for employing a perceived but not a measured learning outcome including but not limited to: (a) possible incompatibility of assignments among courses and instructors (Arbaugh 2005, 2008; Rovai, 2002); (b) “the enormous challenge of identifying valid and cost effective proxy measures of latent higher-order thinking” (Akyol et al, 2009, p. 127); (c) different grading regimes employed in different courses leading to comparability problems (</w:t>
      </w:r>
      <w:proofErr w:type="spellStart"/>
      <w:r>
        <w:t>Paechter</w:t>
      </w:r>
      <w:proofErr w:type="spellEnd"/>
      <w:r>
        <w:t xml:space="preserve">, Maier, &amp; </w:t>
      </w:r>
      <w:proofErr w:type="spellStart"/>
      <w:r>
        <w:t>Macher</w:t>
      </w:r>
      <w:proofErr w:type="spellEnd"/>
      <w:r>
        <w:t>, 2010).</w:t>
      </w:r>
    </w:p>
    <w:p w:rsidR="004C43AF" w:rsidRDefault="004C43AF" w:rsidP="004C43AF">
      <w:pPr>
        <w:spacing w:line="480" w:lineRule="auto"/>
      </w:pPr>
      <w:r>
        <w:rPr>
          <w:rFonts w:cs="Times New Roman"/>
        </w:rPr>
        <w:t>As such, t</w:t>
      </w:r>
      <w:r>
        <w:t>he purpose of the present study is to address the following main research questions:</w:t>
      </w:r>
    </w:p>
    <w:p w:rsidR="00381F88" w:rsidRDefault="00381F88" w:rsidP="00381F88">
      <w:pPr>
        <w:pStyle w:val="ListeParagraf"/>
        <w:numPr>
          <w:ilvl w:val="0"/>
          <w:numId w:val="3"/>
        </w:numPr>
        <w:spacing w:line="480" w:lineRule="auto"/>
      </w:pPr>
      <w:r>
        <w:t>Which is the best predictor of cognitive load at the beginning of an online learning experience: social presence, teaching presence or cognitive presence?</w:t>
      </w:r>
    </w:p>
    <w:p w:rsidR="00381F88" w:rsidRDefault="00381F88" w:rsidP="00381F88">
      <w:pPr>
        <w:pStyle w:val="ListeParagraf"/>
        <w:numPr>
          <w:ilvl w:val="0"/>
          <w:numId w:val="3"/>
        </w:numPr>
        <w:spacing w:line="480" w:lineRule="auto"/>
      </w:pPr>
      <w:r>
        <w:t>Which is the best predictor of cognitive load at the end of an online learning experience: social presence, teaching presence or cognitive presence?</w:t>
      </w:r>
    </w:p>
    <w:p w:rsidR="00381F88" w:rsidRDefault="00381F88" w:rsidP="00381F88">
      <w:pPr>
        <w:pStyle w:val="ListeParagraf"/>
        <w:numPr>
          <w:ilvl w:val="0"/>
          <w:numId w:val="3"/>
        </w:numPr>
        <w:spacing w:line="480" w:lineRule="auto"/>
      </w:pPr>
      <w:r>
        <w:t>Which is the best predictor of perceived learning: social presence, teaching presence, cognitive presence or cognitive load?</w:t>
      </w:r>
    </w:p>
    <w:p w:rsidR="00381F88" w:rsidRDefault="00381F88" w:rsidP="00381F88">
      <w:pPr>
        <w:pStyle w:val="ListeParagraf"/>
        <w:numPr>
          <w:ilvl w:val="0"/>
          <w:numId w:val="3"/>
        </w:numPr>
        <w:spacing w:line="480" w:lineRule="auto"/>
      </w:pPr>
      <w:r>
        <w:t>Which is the best predictor of perceived learner satisfaction: social presence, teaching presence, cognitive presence or cognitive load?</w:t>
      </w:r>
    </w:p>
    <w:p w:rsidR="004C43AF" w:rsidRDefault="004C43AF" w:rsidP="004C43AF">
      <w:pPr>
        <w:jc w:val="center"/>
      </w:pPr>
    </w:p>
    <w:p w:rsidR="009A2EF8" w:rsidRDefault="009A2EF8" w:rsidP="009A2EF8">
      <w:pPr>
        <w:jc w:val="center"/>
      </w:pPr>
    </w:p>
    <w:p w:rsidR="004C43AF" w:rsidRPr="006036A4" w:rsidRDefault="004C43AF" w:rsidP="004C43AF">
      <w:pPr>
        <w:spacing w:line="360" w:lineRule="auto"/>
        <w:jc w:val="center"/>
        <w:rPr>
          <w:u w:val="single"/>
        </w:rPr>
      </w:pPr>
      <w:r>
        <w:rPr>
          <w:u w:val="single"/>
        </w:rPr>
        <w:t>Significance of the Study</w:t>
      </w:r>
    </w:p>
    <w:p w:rsidR="004C43AF" w:rsidRDefault="004C43AF" w:rsidP="004C43AF">
      <w:pPr>
        <w:spacing w:line="480" w:lineRule="auto"/>
      </w:pPr>
      <w:r>
        <w:t xml:space="preserve">Possible presence and cognitive load relationships </w:t>
      </w:r>
      <w:r w:rsidR="004B1A39">
        <w:t xml:space="preserve">regarding perceived learning and satisfaction </w:t>
      </w:r>
      <w:r>
        <w:t xml:space="preserve">may be beneficial from both a theoretical perspective and practical perspective: (a) we can gain more insights into how presence and cognitive load relate to </w:t>
      </w:r>
      <w:r>
        <w:lastRenderedPageBreak/>
        <w:t>perceived learning and satisfaction thereby improving existing theoretical insights; (b) closely related to theoretical gains, presence and cognitive load relationships may inform online learning and teaching in terms of how to promote learning and satisfaction. In other words, more knowledge about presence and cognitive load relationships may provide a better understanding of how to design and manage online learning on the one hand, and how to enhance online learning outcomes on the other. These may further help us decrease the high drop-out rates in online learning environments.</w:t>
      </w:r>
    </w:p>
    <w:p w:rsidR="004C43AF" w:rsidRDefault="004C43AF" w:rsidP="009A2EF8">
      <w:pPr>
        <w:jc w:val="center"/>
      </w:pPr>
    </w:p>
    <w:p w:rsidR="009A2EF8" w:rsidRPr="002C135A" w:rsidRDefault="009A2EF8" w:rsidP="009A2EF8">
      <w:pPr>
        <w:jc w:val="center"/>
      </w:pPr>
    </w:p>
    <w:p w:rsidR="004C43AF" w:rsidRPr="008E2F75" w:rsidRDefault="004C43AF" w:rsidP="004C43AF">
      <w:pPr>
        <w:spacing w:line="360" w:lineRule="auto"/>
        <w:jc w:val="center"/>
        <w:rPr>
          <w:u w:val="single"/>
        </w:rPr>
      </w:pPr>
      <w:r w:rsidRPr="008E2F75">
        <w:rPr>
          <w:u w:val="single"/>
        </w:rPr>
        <w:t>Key Terms</w:t>
      </w:r>
    </w:p>
    <w:p w:rsidR="004C43AF" w:rsidRDefault="004C43AF" w:rsidP="004C43AF">
      <w:pPr>
        <w:spacing w:line="480" w:lineRule="auto"/>
      </w:pPr>
      <w:r>
        <w:t>This section provides the definitions of the key terms used in the present study assuming that a brief clarification would help understanding the content better. All these definitions can be found in Table 1 below:</w:t>
      </w:r>
    </w:p>
    <w:p w:rsidR="004C43AF" w:rsidRDefault="004C43AF" w:rsidP="004C43AF">
      <w:pPr>
        <w:spacing w:line="360" w:lineRule="auto"/>
        <w:ind w:firstLine="0"/>
      </w:pPr>
      <w:r>
        <w:t>Table 1</w:t>
      </w:r>
    </w:p>
    <w:p w:rsidR="004C43AF" w:rsidRDefault="004C43AF" w:rsidP="004C43AF">
      <w:pPr>
        <w:spacing w:line="360" w:lineRule="auto"/>
        <w:ind w:firstLine="0"/>
        <w:rPr>
          <w:i/>
        </w:rPr>
      </w:pPr>
      <w:r>
        <w:rPr>
          <w:i/>
        </w:rPr>
        <w:t>Definitions of Key Terms Used in the Current Study</w:t>
      </w:r>
    </w:p>
    <w:tbl>
      <w:tblPr>
        <w:tblStyle w:val="TabloKlavuzu"/>
        <w:tblW w:w="0" w:type="auto"/>
        <w:tblBorders>
          <w:left w:val="none" w:sz="0" w:space="0" w:color="auto"/>
          <w:right w:val="none" w:sz="0" w:space="0" w:color="auto"/>
          <w:insideV w:val="none" w:sz="0" w:space="0" w:color="auto"/>
        </w:tblBorders>
        <w:tblLook w:val="04A0"/>
      </w:tblPr>
      <w:tblGrid>
        <w:gridCol w:w="3369"/>
        <w:gridCol w:w="5487"/>
      </w:tblGrid>
      <w:tr w:rsidR="004C43AF" w:rsidTr="00074DD9">
        <w:tc>
          <w:tcPr>
            <w:tcW w:w="3369" w:type="dxa"/>
          </w:tcPr>
          <w:p w:rsidR="004C43AF" w:rsidRDefault="004C43AF" w:rsidP="00074DD9">
            <w:pPr>
              <w:spacing w:line="480" w:lineRule="auto"/>
              <w:ind w:firstLine="0"/>
              <w:jc w:val="center"/>
            </w:pPr>
            <w:r>
              <w:t>Term</w:t>
            </w:r>
          </w:p>
        </w:tc>
        <w:tc>
          <w:tcPr>
            <w:tcW w:w="5487" w:type="dxa"/>
          </w:tcPr>
          <w:p w:rsidR="004C43AF" w:rsidRDefault="004C43AF" w:rsidP="00074DD9">
            <w:pPr>
              <w:spacing w:line="480" w:lineRule="auto"/>
              <w:ind w:firstLine="0"/>
              <w:jc w:val="center"/>
            </w:pPr>
            <w:r>
              <w:t>Definition</w:t>
            </w:r>
          </w:p>
        </w:tc>
      </w:tr>
      <w:tr w:rsidR="004C43AF" w:rsidTr="00074DD9">
        <w:tc>
          <w:tcPr>
            <w:tcW w:w="3369" w:type="dxa"/>
          </w:tcPr>
          <w:p w:rsidR="004C43AF" w:rsidRDefault="004C43AF" w:rsidP="00074DD9">
            <w:pPr>
              <w:spacing w:line="480" w:lineRule="auto"/>
              <w:ind w:firstLine="0"/>
            </w:pPr>
            <w:r>
              <w:t>Community</w:t>
            </w:r>
          </w:p>
        </w:tc>
        <w:tc>
          <w:tcPr>
            <w:tcW w:w="5487" w:type="dxa"/>
          </w:tcPr>
          <w:p w:rsidR="004C43AF" w:rsidRDefault="004C43AF" w:rsidP="00074DD9">
            <w:pPr>
              <w:spacing w:line="480" w:lineRule="auto"/>
              <w:ind w:firstLine="0"/>
            </w:pPr>
            <w:r>
              <w:t>“A group of individuals who are connected and communicate with regard to mutual interests and similar expectations as to process and outcomes.” (Garrison, 2013, p. 10).</w:t>
            </w:r>
          </w:p>
        </w:tc>
      </w:tr>
      <w:tr w:rsidR="004C43AF" w:rsidTr="00074DD9">
        <w:tc>
          <w:tcPr>
            <w:tcW w:w="3369" w:type="dxa"/>
          </w:tcPr>
          <w:p w:rsidR="004C43AF" w:rsidRDefault="004C43AF" w:rsidP="00074DD9">
            <w:pPr>
              <w:spacing w:line="480" w:lineRule="auto"/>
              <w:ind w:firstLine="0"/>
            </w:pPr>
            <w:r>
              <w:t>Learning community</w:t>
            </w:r>
          </w:p>
        </w:tc>
        <w:tc>
          <w:tcPr>
            <w:tcW w:w="5487" w:type="dxa"/>
          </w:tcPr>
          <w:p w:rsidR="004C43AF" w:rsidRPr="005B1B09" w:rsidRDefault="004C43AF" w:rsidP="00074DD9">
            <w:pPr>
              <w:spacing w:line="480" w:lineRule="auto"/>
              <w:ind w:firstLine="0"/>
            </w:pPr>
            <w:r>
              <w:t>A collaborative group of learners who involve in “</w:t>
            </w:r>
            <w:r>
              <w:rPr>
                <w:i/>
              </w:rPr>
              <w:t xml:space="preserve">intellectual interaction” </w:t>
            </w:r>
            <w:r>
              <w:t>in order to learn (Cross, 1998, p. 4).</w:t>
            </w:r>
          </w:p>
        </w:tc>
      </w:tr>
      <w:tr w:rsidR="004C43AF" w:rsidTr="00074DD9">
        <w:tc>
          <w:tcPr>
            <w:tcW w:w="3369" w:type="dxa"/>
          </w:tcPr>
          <w:p w:rsidR="004C43AF" w:rsidRDefault="004C43AF" w:rsidP="00074DD9">
            <w:pPr>
              <w:spacing w:line="480" w:lineRule="auto"/>
              <w:ind w:firstLine="0"/>
            </w:pPr>
            <w:r>
              <w:t>Inquiry</w:t>
            </w:r>
          </w:p>
        </w:tc>
        <w:tc>
          <w:tcPr>
            <w:tcW w:w="5487" w:type="dxa"/>
          </w:tcPr>
          <w:p w:rsidR="004C43AF" w:rsidRDefault="004C43AF" w:rsidP="00074DD9">
            <w:pPr>
              <w:spacing w:line="480" w:lineRule="auto"/>
              <w:ind w:firstLine="0"/>
            </w:pPr>
            <w:r>
              <w:t xml:space="preserve">“A process of critical thinking and problem solving </w:t>
            </w:r>
            <w:r>
              <w:lastRenderedPageBreak/>
              <w:t>based on the generalized scientific method leading to resolution and the growth of personal and collective knowledge.” (Garrison, 2013, p. 11).</w:t>
            </w:r>
          </w:p>
        </w:tc>
      </w:tr>
      <w:tr w:rsidR="004C43AF" w:rsidTr="00074DD9">
        <w:tc>
          <w:tcPr>
            <w:tcW w:w="3369" w:type="dxa"/>
          </w:tcPr>
          <w:p w:rsidR="004C43AF" w:rsidRDefault="004C43AF" w:rsidP="00074DD9">
            <w:pPr>
              <w:spacing w:line="480" w:lineRule="auto"/>
              <w:ind w:firstLine="0"/>
            </w:pPr>
            <w:r>
              <w:lastRenderedPageBreak/>
              <w:t>Community of Inquiry</w:t>
            </w:r>
          </w:p>
        </w:tc>
        <w:tc>
          <w:tcPr>
            <w:tcW w:w="5487" w:type="dxa"/>
          </w:tcPr>
          <w:p w:rsidR="004C43AF" w:rsidRDefault="004C43AF" w:rsidP="00074DD9">
            <w:pPr>
              <w:spacing w:line="480" w:lineRule="auto"/>
              <w:ind w:firstLine="0"/>
            </w:pPr>
            <w:r>
              <w:t>“A learning community where participants collaboratively engage in purposeful critical discourse and reflection (cognitive presence) to construct personal meaning and shared understanding through negotiation.” (Garrison, 2013, p. 10).</w:t>
            </w:r>
          </w:p>
        </w:tc>
      </w:tr>
      <w:tr w:rsidR="004C43AF" w:rsidTr="00074DD9">
        <w:tc>
          <w:tcPr>
            <w:tcW w:w="3369" w:type="dxa"/>
          </w:tcPr>
          <w:p w:rsidR="004C43AF" w:rsidRDefault="004C43AF" w:rsidP="00074DD9">
            <w:pPr>
              <w:spacing w:line="480" w:lineRule="auto"/>
              <w:ind w:firstLine="0"/>
            </w:pPr>
            <w:r>
              <w:t>Discourse</w:t>
            </w:r>
          </w:p>
        </w:tc>
        <w:tc>
          <w:tcPr>
            <w:tcW w:w="5487" w:type="dxa"/>
          </w:tcPr>
          <w:p w:rsidR="004C43AF" w:rsidRDefault="004C43AF" w:rsidP="00074DD9">
            <w:pPr>
              <w:spacing w:line="480" w:lineRule="auto"/>
              <w:ind w:firstLine="0"/>
            </w:pPr>
            <w:r>
              <w:t>“A collaborative and critical process for clarifying and resolving cognitive conflict through an open and disciplined (reflective and reasoned) form of dialogue or discussion with the potential for mutual agreement.” (Garrison, 2013, p. 11).</w:t>
            </w:r>
          </w:p>
        </w:tc>
      </w:tr>
      <w:tr w:rsidR="004C43AF" w:rsidTr="00074DD9">
        <w:tc>
          <w:tcPr>
            <w:tcW w:w="3369" w:type="dxa"/>
          </w:tcPr>
          <w:p w:rsidR="004C43AF" w:rsidRDefault="004C43AF" w:rsidP="00074DD9">
            <w:pPr>
              <w:spacing w:line="480" w:lineRule="auto"/>
              <w:ind w:firstLine="0"/>
            </w:pPr>
            <w:r>
              <w:t>Metacognition</w:t>
            </w:r>
          </w:p>
        </w:tc>
        <w:tc>
          <w:tcPr>
            <w:tcW w:w="5487" w:type="dxa"/>
          </w:tcPr>
          <w:p w:rsidR="004C43AF" w:rsidRDefault="004C43AF" w:rsidP="00074DD9">
            <w:pPr>
              <w:spacing w:line="480" w:lineRule="auto"/>
              <w:ind w:firstLine="0"/>
            </w:pPr>
            <w:r>
              <w:t>It is “the set of higher knowledge and skills to monitor and regulate manifest cognitive processes of self and others.” (Akyol &amp; Garrison, 2011a, p. 184).</w:t>
            </w:r>
          </w:p>
        </w:tc>
      </w:tr>
      <w:tr w:rsidR="004C43AF" w:rsidTr="00074DD9">
        <w:tc>
          <w:tcPr>
            <w:tcW w:w="3369" w:type="dxa"/>
          </w:tcPr>
          <w:p w:rsidR="004C43AF" w:rsidRDefault="004C43AF" w:rsidP="00074DD9">
            <w:pPr>
              <w:spacing w:line="480" w:lineRule="auto"/>
              <w:ind w:firstLine="0"/>
            </w:pPr>
            <w:r>
              <w:t>Cognitive load</w:t>
            </w:r>
          </w:p>
        </w:tc>
        <w:tc>
          <w:tcPr>
            <w:tcW w:w="5487" w:type="dxa"/>
          </w:tcPr>
          <w:p w:rsidR="004C43AF" w:rsidRDefault="004C43AF" w:rsidP="00074DD9">
            <w:pPr>
              <w:spacing w:line="480" w:lineRule="auto"/>
              <w:ind w:firstLine="0"/>
            </w:pPr>
            <w:r>
              <w:t>Cognitive load refers to “the load that performing a particular task imposes on the cognitive system.” (Sweller, et al., 1998, p. 266).</w:t>
            </w:r>
          </w:p>
        </w:tc>
      </w:tr>
      <w:tr w:rsidR="004C43AF" w:rsidTr="00074DD9">
        <w:tc>
          <w:tcPr>
            <w:tcW w:w="3369" w:type="dxa"/>
          </w:tcPr>
          <w:p w:rsidR="004C43AF" w:rsidRDefault="004C43AF" w:rsidP="00074DD9">
            <w:pPr>
              <w:spacing w:line="480" w:lineRule="auto"/>
              <w:ind w:firstLine="0"/>
            </w:pPr>
            <w:r>
              <w:t>Extraneous cognitive load</w:t>
            </w:r>
          </w:p>
        </w:tc>
        <w:tc>
          <w:tcPr>
            <w:tcW w:w="5487" w:type="dxa"/>
          </w:tcPr>
          <w:p w:rsidR="004C43AF" w:rsidRDefault="004C43AF" w:rsidP="00074DD9">
            <w:pPr>
              <w:spacing w:line="480" w:lineRule="auto"/>
              <w:ind w:firstLine="0"/>
            </w:pPr>
            <w:r>
              <w:t xml:space="preserve">It is the type of load “imposed by instructional procedures that are less than optimal.” (Sweller, 2010, p. 125). That is, it emanates from poor instructional </w:t>
            </w:r>
            <w:r>
              <w:lastRenderedPageBreak/>
              <w:t xml:space="preserve">design aspects including presentation of information. </w:t>
            </w:r>
          </w:p>
        </w:tc>
      </w:tr>
      <w:tr w:rsidR="004C43AF" w:rsidTr="00074DD9">
        <w:tc>
          <w:tcPr>
            <w:tcW w:w="3369" w:type="dxa"/>
          </w:tcPr>
          <w:p w:rsidR="004C43AF" w:rsidRDefault="004C43AF" w:rsidP="00074DD9">
            <w:pPr>
              <w:spacing w:line="480" w:lineRule="auto"/>
              <w:ind w:firstLine="0"/>
            </w:pPr>
            <w:r>
              <w:lastRenderedPageBreak/>
              <w:t>Intrinsic cognitive load</w:t>
            </w:r>
          </w:p>
        </w:tc>
        <w:tc>
          <w:tcPr>
            <w:tcW w:w="5487" w:type="dxa"/>
          </w:tcPr>
          <w:p w:rsidR="004C43AF" w:rsidRDefault="004C43AF" w:rsidP="00074DD9">
            <w:pPr>
              <w:spacing w:line="480" w:lineRule="auto"/>
              <w:ind w:firstLine="0"/>
            </w:pPr>
            <w:r>
              <w:t>It “is concerned with the natural complexity of information that must be understood and material that  must be learned, unencumbered by instructional issues such as how the information should be presented” (Sweller, 2010, p. 124).</w:t>
            </w:r>
          </w:p>
        </w:tc>
      </w:tr>
      <w:tr w:rsidR="004C43AF" w:rsidTr="00074DD9">
        <w:tc>
          <w:tcPr>
            <w:tcW w:w="3369" w:type="dxa"/>
          </w:tcPr>
          <w:p w:rsidR="004C43AF" w:rsidRDefault="004C43AF" w:rsidP="00074DD9">
            <w:pPr>
              <w:spacing w:line="480" w:lineRule="auto"/>
              <w:ind w:firstLine="0"/>
            </w:pPr>
            <w:r>
              <w:t>Germane  cognitive load</w:t>
            </w:r>
          </w:p>
        </w:tc>
        <w:tc>
          <w:tcPr>
            <w:tcW w:w="5487" w:type="dxa"/>
          </w:tcPr>
          <w:p w:rsidR="004C43AF" w:rsidRDefault="004C43AF" w:rsidP="00074DD9">
            <w:pPr>
              <w:spacing w:line="480" w:lineRule="auto"/>
              <w:ind w:firstLine="0"/>
            </w:pPr>
            <w:r>
              <w:t>It “can be better understood as working memory resources that are devoted to information that is relevant or germane to learning.” (Sweller et al., 2011, p. 57).</w:t>
            </w:r>
          </w:p>
        </w:tc>
      </w:tr>
      <w:tr w:rsidR="004C43AF" w:rsidTr="00074DD9">
        <w:tc>
          <w:tcPr>
            <w:tcW w:w="3369" w:type="dxa"/>
          </w:tcPr>
          <w:p w:rsidR="004C43AF" w:rsidRDefault="004C43AF" w:rsidP="00074DD9">
            <w:pPr>
              <w:spacing w:line="480" w:lineRule="auto"/>
              <w:ind w:firstLine="0"/>
            </w:pPr>
            <w:r>
              <w:t>Working memory</w:t>
            </w:r>
          </w:p>
        </w:tc>
        <w:tc>
          <w:tcPr>
            <w:tcW w:w="5487" w:type="dxa"/>
          </w:tcPr>
          <w:p w:rsidR="004C43AF" w:rsidRDefault="004C43AF" w:rsidP="00074DD9">
            <w:pPr>
              <w:spacing w:line="480" w:lineRule="auto"/>
              <w:ind w:firstLine="0"/>
            </w:pPr>
            <w:r>
              <w:t xml:space="preserve">It is “a brain system that provides temporary storage and manipulation of the information necessary for such complex cognitive tasks as language comprehension, learning, and reasoning.” (p. 556). </w:t>
            </w:r>
          </w:p>
        </w:tc>
      </w:tr>
      <w:tr w:rsidR="004C43AF" w:rsidTr="00074DD9">
        <w:tc>
          <w:tcPr>
            <w:tcW w:w="3369" w:type="dxa"/>
          </w:tcPr>
          <w:p w:rsidR="004C43AF" w:rsidRDefault="004C43AF" w:rsidP="00074DD9">
            <w:pPr>
              <w:spacing w:line="480" w:lineRule="auto"/>
              <w:ind w:firstLine="0"/>
            </w:pPr>
            <w:r>
              <w:t xml:space="preserve">Information element </w:t>
            </w:r>
          </w:p>
        </w:tc>
        <w:tc>
          <w:tcPr>
            <w:tcW w:w="5487" w:type="dxa"/>
          </w:tcPr>
          <w:p w:rsidR="004C43AF" w:rsidRDefault="004C43AF" w:rsidP="00074DD9">
            <w:pPr>
              <w:spacing w:line="480" w:lineRule="auto"/>
              <w:ind w:firstLine="0"/>
            </w:pPr>
            <w:r>
              <w:t>“An element is a learning item in its simplest form and processed as a single unit in working memory.” (Leahy et al., 2033, p. 402).</w:t>
            </w:r>
          </w:p>
        </w:tc>
      </w:tr>
      <w:tr w:rsidR="004C43AF" w:rsidTr="00074DD9">
        <w:tc>
          <w:tcPr>
            <w:tcW w:w="3369" w:type="dxa"/>
          </w:tcPr>
          <w:p w:rsidR="004C43AF" w:rsidRDefault="004C43AF" w:rsidP="00074DD9">
            <w:pPr>
              <w:spacing w:line="480" w:lineRule="auto"/>
              <w:ind w:firstLine="0"/>
            </w:pPr>
            <w:r>
              <w:t>Element interactivity</w:t>
            </w:r>
          </w:p>
        </w:tc>
        <w:tc>
          <w:tcPr>
            <w:tcW w:w="5487" w:type="dxa"/>
          </w:tcPr>
          <w:p w:rsidR="004C43AF" w:rsidRDefault="004C43AF" w:rsidP="00074DD9">
            <w:pPr>
              <w:spacing w:line="480" w:lineRule="auto"/>
              <w:ind w:firstLine="0"/>
            </w:pPr>
            <w:r>
              <w:t>“Interacting elements are defined as elements that must be processed simultaneously in working memory because they are logically related.” (Sweller et al., 2011, p. 58).</w:t>
            </w:r>
          </w:p>
        </w:tc>
      </w:tr>
    </w:tbl>
    <w:p w:rsidR="004C43AF" w:rsidRDefault="004C43AF" w:rsidP="004C43AF">
      <w:pPr>
        <w:spacing w:line="360" w:lineRule="auto"/>
      </w:pPr>
    </w:p>
    <w:p w:rsidR="009A2EF8" w:rsidRDefault="009A2EF8" w:rsidP="004C43AF">
      <w:pPr>
        <w:spacing w:line="360" w:lineRule="auto"/>
      </w:pPr>
    </w:p>
    <w:p w:rsidR="009A2EF8" w:rsidRPr="006A363E" w:rsidRDefault="009A2EF8" w:rsidP="004C43AF">
      <w:pPr>
        <w:spacing w:line="360" w:lineRule="auto"/>
      </w:pPr>
    </w:p>
    <w:p w:rsidR="004C43AF" w:rsidRDefault="004C43AF" w:rsidP="004C43AF">
      <w:pPr>
        <w:spacing w:line="360" w:lineRule="auto"/>
        <w:jc w:val="center"/>
        <w:rPr>
          <w:u w:val="single"/>
        </w:rPr>
      </w:pPr>
      <w:r>
        <w:rPr>
          <w:u w:val="single"/>
        </w:rPr>
        <w:t>References</w:t>
      </w:r>
    </w:p>
    <w:p w:rsidR="004C43AF" w:rsidRDefault="004C43AF" w:rsidP="009F78C5">
      <w:pPr>
        <w:widowControl w:val="0"/>
        <w:tabs>
          <w:tab w:val="left" w:pos="709"/>
        </w:tabs>
        <w:autoSpaceDE w:val="0"/>
        <w:autoSpaceDN w:val="0"/>
        <w:adjustRightInd w:val="0"/>
        <w:spacing w:line="480" w:lineRule="auto"/>
        <w:ind w:hanging="38"/>
        <w:rPr>
          <w:szCs w:val="24"/>
        </w:rPr>
      </w:pPr>
      <w:r>
        <w:rPr>
          <w:szCs w:val="24"/>
        </w:rPr>
        <w:t xml:space="preserve">Akyol, Z., &amp; Garrison, D. R. (2008). The development of a community of inquiry over </w:t>
      </w:r>
      <w:r>
        <w:rPr>
          <w:szCs w:val="24"/>
        </w:rPr>
        <w:tab/>
        <w:t xml:space="preserve">time in an online course: Understanding the progression and integration of social, </w:t>
      </w:r>
      <w:r>
        <w:rPr>
          <w:szCs w:val="24"/>
        </w:rPr>
        <w:tab/>
        <w:t xml:space="preserve">cognitive and teaching presence. </w:t>
      </w:r>
      <w:r>
        <w:rPr>
          <w:i/>
          <w:szCs w:val="24"/>
        </w:rPr>
        <w:t xml:space="preserve">Journal of Asynchronous Learning Networks, </w:t>
      </w:r>
      <w:r>
        <w:rPr>
          <w:i/>
          <w:szCs w:val="24"/>
        </w:rPr>
        <w:tab/>
        <w:t>12</w:t>
      </w:r>
      <w:r>
        <w:rPr>
          <w:szCs w:val="24"/>
        </w:rPr>
        <w:t xml:space="preserve">(3-4), 3-22. </w:t>
      </w:r>
    </w:p>
    <w:p w:rsidR="004C43AF" w:rsidRDefault="004C43AF" w:rsidP="009F78C5">
      <w:pPr>
        <w:widowControl w:val="0"/>
        <w:tabs>
          <w:tab w:val="left" w:pos="709"/>
        </w:tabs>
        <w:autoSpaceDE w:val="0"/>
        <w:autoSpaceDN w:val="0"/>
        <w:adjustRightInd w:val="0"/>
        <w:spacing w:line="480" w:lineRule="auto"/>
        <w:ind w:hanging="38"/>
        <w:rPr>
          <w:szCs w:val="24"/>
        </w:rPr>
      </w:pPr>
      <w:r>
        <w:rPr>
          <w:szCs w:val="24"/>
        </w:rPr>
        <w:t xml:space="preserve">Akyol, Z., &amp; Garrison, D. R. (2011a). Assessing metacognition in an online community </w:t>
      </w:r>
      <w:r>
        <w:rPr>
          <w:szCs w:val="24"/>
        </w:rPr>
        <w:tab/>
        <w:t xml:space="preserve">of inquiry. </w:t>
      </w:r>
      <w:r>
        <w:rPr>
          <w:i/>
          <w:szCs w:val="24"/>
        </w:rPr>
        <w:t xml:space="preserve">Internet and Higher Education, 14, </w:t>
      </w:r>
      <w:r>
        <w:rPr>
          <w:szCs w:val="24"/>
        </w:rPr>
        <w:t>183-190.</w:t>
      </w:r>
    </w:p>
    <w:p w:rsidR="004C43AF" w:rsidRPr="006C5B73" w:rsidRDefault="004C43AF" w:rsidP="009F78C5">
      <w:pPr>
        <w:tabs>
          <w:tab w:val="left" w:pos="284"/>
        </w:tabs>
        <w:spacing w:line="480" w:lineRule="auto"/>
        <w:ind w:firstLine="0"/>
        <w:rPr>
          <w:rFonts w:cs="Times New Roman"/>
        </w:rPr>
      </w:pPr>
      <w:r>
        <w:rPr>
          <w:szCs w:val="24"/>
        </w:rPr>
        <w:t xml:space="preserve">Akyol, Z., &amp; Garrison, D. R. (2011b). Understanding cognitive presence in an online and </w:t>
      </w:r>
      <w:r>
        <w:rPr>
          <w:szCs w:val="24"/>
        </w:rPr>
        <w:tab/>
        <w:t xml:space="preserve">blended community of inquiry: Assessing outcomes and processes for deep </w:t>
      </w:r>
      <w:r>
        <w:rPr>
          <w:szCs w:val="24"/>
        </w:rPr>
        <w:tab/>
        <w:t xml:space="preserve">approaches to learning. </w:t>
      </w:r>
      <w:r>
        <w:rPr>
          <w:i/>
          <w:szCs w:val="24"/>
        </w:rPr>
        <w:t>British Journal of Educational Technology, 42</w:t>
      </w:r>
      <w:r>
        <w:rPr>
          <w:szCs w:val="24"/>
        </w:rPr>
        <w:t>(2), 233-</w:t>
      </w:r>
      <w:r>
        <w:rPr>
          <w:szCs w:val="24"/>
        </w:rPr>
        <w:tab/>
        <w:t>250.</w:t>
      </w:r>
    </w:p>
    <w:p w:rsidR="004C43AF" w:rsidRPr="001D2C2F" w:rsidRDefault="004C43AF" w:rsidP="009F78C5">
      <w:pPr>
        <w:widowControl w:val="0"/>
        <w:tabs>
          <w:tab w:val="left" w:pos="709"/>
        </w:tabs>
        <w:autoSpaceDE w:val="0"/>
        <w:autoSpaceDN w:val="0"/>
        <w:adjustRightInd w:val="0"/>
        <w:spacing w:line="480" w:lineRule="auto"/>
        <w:ind w:hanging="38"/>
        <w:rPr>
          <w:szCs w:val="24"/>
        </w:rPr>
      </w:pPr>
      <w:r>
        <w:rPr>
          <w:szCs w:val="24"/>
        </w:rPr>
        <w:t xml:space="preserve">Akyol, Z., Arbaugh, J. B., Cleveland-Innes, M., Garrison, D. R., Ice, P., Richardson, J. C., </w:t>
      </w:r>
      <w:r>
        <w:rPr>
          <w:szCs w:val="24"/>
        </w:rPr>
        <w:tab/>
        <w:t xml:space="preserve">&amp; Swan, K. (2009). A response to the review of the community of inquiry </w:t>
      </w:r>
      <w:r>
        <w:rPr>
          <w:szCs w:val="24"/>
        </w:rPr>
        <w:tab/>
        <w:t xml:space="preserve">framework. </w:t>
      </w:r>
      <w:r>
        <w:rPr>
          <w:i/>
          <w:szCs w:val="24"/>
        </w:rPr>
        <w:t>Journal of Distance Education, 23</w:t>
      </w:r>
      <w:r>
        <w:rPr>
          <w:szCs w:val="24"/>
        </w:rPr>
        <w:t>(2), 123-136.</w:t>
      </w:r>
    </w:p>
    <w:p w:rsidR="004C43AF" w:rsidRDefault="004C43AF" w:rsidP="009F78C5">
      <w:pPr>
        <w:tabs>
          <w:tab w:val="left" w:pos="284"/>
        </w:tabs>
        <w:spacing w:line="480" w:lineRule="auto"/>
        <w:ind w:firstLine="0"/>
        <w:rPr>
          <w:rFonts w:cs="Times New Roman"/>
        </w:rPr>
      </w:pPr>
      <w:r w:rsidRPr="006A6C08">
        <w:rPr>
          <w:rFonts w:cs="Times New Roman"/>
          <w:szCs w:val="24"/>
        </w:rPr>
        <w:t xml:space="preserve">Akyol, Z., Garrison, D. R., &amp; Ozden, M. Y. (2009). Online and blended communities of </w:t>
      </w:r>
      <w:r>
        <w:rPr>
          <w:rFonts w:cs="Times New Roman"/>
          <w:szCs w:val="24"/>
        </w:rPr>
        <w:tab/>
      </w:r>
      <w:r>
        <w:rPr>
          <w:rFonts w:cs="Times New Roman"/>
          <w:szCs w:val="24"/>
        </w:rPr>
        <w:tab/>
        <w:t xml:space="preserve">inquiry: </w:t>
      </w:r>
      <w:r w:rsidRPr="006A6C08">
        <w:rPr>
          <w:rFonts w:cs="Times New Roman"/>
          <w:szCs w:val="24"/>
        </w:rPr>
        <w:t xml:space="preserve">Exploring the developmental and perceptional differences. </w:t>
      </w:r>
      <w:r w:rsidRPr="006A6C08">
        <w:rPr>
          <w:rFonts w:cs="Times New Roman"/>
          <w:i/>
          <w:szCs w:val="24"/>
        </w:rPr>
        <w:t xml:space="preserve">The </w:t>
      </w:r>
      <w:r>
        <w:rPr>
          <w:rFonts w:cs="Times New Roman"/>
          <w:i/>
          <w:szCs w:val="24"/>
        </w:rPr>
        <w:tab/>
      </w:r>
      <w:r>
        <w:rPr>
          <w:rFonts w:cs="Times New Roman"/>
          <w:i/>
          <w:szCs w:val="24"/>
        </w:rPr>
        <w:tab/>
      </w:r>
      <w:r>
        <w:rPr>
          <w:rFonts w:cs="Times New Roman"/>
          <w:i/>
          <w:szCs w:val="24"/>
        </w:rPr>
        <w:tab/>
      </w:r>
      <w:r>
        <w:rPr>
          <w:rFonts w:cs="Times New Roman"/>
          <w:i/>
          <w:szCs w:val="24"/>
        </w:rPr>
        <w:tab/>
        <w:t xml:space="preserve">International Review of </w:t>
      </w:r>
      <w:r w:rsidRPr="006A6C08">
        <w:rPr>
          <w:rFonts w:cs="Times New Roman"/>
          <w:i/>
          <w:szCs w:val="24"/>
        </w:rPr>
        <w:t xml:space="preserve">Research in Open and Distance Learning, 10, </w:t>
      </w:r>
      <w:r w:rsidRPr="006A6C08">
        <w:rPr>
          <w:rFonts w:cs="Times New Roman"/>
          <w:szCs w:val="24"/>
        </w:rPr>
        <w:t>65-83.</w:t>
      </w:r>
      <w:r w:rsidRPr="006A6C08">
        <w:rPr>
          <w:rFonts w:cs="Times New Roman"/>
          <w:i/>
          <w:szCs w:val="24"/>
        </w:rPr>
        <w:t xml:space="preserve"> </w:t>
      </w:r>
      <w:r w:rsidRPr="006A6C08">
        <w:rPr>
          <w:rFonts w:cs="Times New Roman"/>
          <w:szCs w:val="24"/>
        </w:rPr>
        <w:t xml:space="preserve"> </w:t>
      </w:r>
    </w:p>
    <w:p w:rsidR="004C43AF" w:rsidRPr="000325B3" w:rsidRDefault="004C43AF" w:rsidP="009F78C5">
      <w:pPr>
        <w:tabs>
          <w:tab w:val="left" w:pos="284"/>
        </w:tabs>
        <w:spacing w:line="480" w:lineRule="auto"/>
        <w:ind w:firstLine="0"/>
        <w:rPr>
          <w:rFonts w:cs="Times New Roman"/>
        </w:rPr>
      </w:pPr>
      <w:r w:rsidRPr="000325B3">
        <w:rPr>
          <w:rFonts w:cs="Times New Roman"/>
        </w:rPr>
        <w:t xml:space="preserve">Allen, I. E., &amp; Seaman, J. (2006). </w:t>
      </w:r>
      <w:r w:rsidRPr="000325B3">
        <w:rPr>
          <w:rFonts w:cs="Times New Roman"/>
          <w:i/>
        </w:rPr>
        <w:t>Making the grade: Online e</w:t>
      </w:r>
      <w:r>
        <w:rPr>
          <w:rFonts w:cs="Times New Roman"/>
          <w:i/>
        </w:rPr>
        <w:t xml:space="preserve">ducation in the United </w:t>
      </w:r>
      <w:r>
        <w:rPr>
          <w:rFonts w:cs="Times New Roman"/>
          <w:i/>
        </w:rPr>
        <w:tab/>
      </w:r>
      <w:r>
        <w:rPr>
          <w:rFonts w:cs="Times New Roman"/>
          <w:i/>
        </w:rPr>
        <w:tab/>
      </w:r>
      <w:r>
        <w:rPr>
          <w:rFonts w:cs="Times New Roman"/>
          <w:i/>
        </w:rPr>
        <w:tab/>
        <w:t xml:space="preserve">States, </w:t>
      </w:r>
      <w:r w:rsidRPr="000325B3">
        <w:rPr>
          <w:rFonts w:cs="Times New Roman"/>
          <w:i/>
        </w:rPr>
        <w:t xml:space="preserve">2006. </w:t>
      </w:r>
      <w:r>
        <w:rPr>
          <w:rFonts w:cs="Times New Roman"/>
          <w:i/>
        </w:rPr>
        <w:tab/>
      </w:r>
      <w:r w:rsidRPr="000325B3">
        <w:rPr>
          <w:rFonts w:cs="Times New Roman"/>
        </w:rPr>
        <w:t xml:space="preserve">Needham, MA: The Sloan Consortium. Retrieved </w:t>
      </w:r>
      <w:r>
        <w:rPr>
          <w:rFonts w:cs="Times New Roman"/>
        </w:rPr>
        <w:tab/>
      </w:r>
      <w:r>
        <w:rPr>
          <w:rFonts w:cs="Times New Roman"/>
        </w:rPr>
        <w:tab/>
      </w:r>
      <w:r>
        <w:rPr>
          <w:rFonts w:cs="Times New Roman"/>
        </w:rPr>
        <w:tab/>
      </w:r>
      <w:r>
        <w:rPr>
          <w:rFonts w:cs="Times New Roman"/>
        </w:rPr>
        <w:tab/>
      </w:r>
      <w:r>
        <w:rPr>
          <w:rFonts w:cs="Times New Roman"/>
        </w:rPr>
        <w:tab/>
      </w:r>
      <w:r w:rsidRPr="000325B3">
        <w:rPr>
          <w:rFonts w:cs="Times New Roman"/>
        </w:rPr>
        <w:t xml:space="preserve">http://www.sloanconsortium </w:t>
      </w:r>
      <w:r w:rsidRPr="000325B3">
        <w:rPr>
          <w:rFonts w:cs="Times New Roman"/>
        </w:rPr>
        <w:tab/>
        <w:t>from.org/sites/default/files/Making_the_Grade.pdf</w:t>
      </w:r>
    </w:p>
    <w:p w:rsidR="004C43AF" w:rsidRPr="000325B3" w:rsidRDefault="004C43AF" w:rsidP="009F78C5">
      <w:pPr>
        <w:tabs>
          <w:tab w:val="left" w:pos="284"/>
        </w:tabs>
        <w:spacing w:line="480" w:lineRule="auto"/>
        <w:ind w:firstLine="0"/>
        <w:rPr>
          <w:rFonts w:cs="Times New Roman"/>
        </w:rPr>
      </w:pPr>
      <w:r w:rsidRPr="000325B3">
        <w:rPr>
          <w:rFonts w:cs="Times New Roman"/>
        </w:rPr>
        <w:lastRenderedPageBreak/>
        <w:t xml:space="preserve">Allen, I. E., &amp; Seaman, J. (2007). </w:t>
      </w:r>
      <w:r w:rsidRPr="000325B3">
        <w:rPr>
          <w:rFonts w:cs="Times New Roman"/>
          <w:i/>
        </w:rPr>
        <w:t xml:space="preserve">Online nation: Five years of growth in online learning. </w:t>
      </w:r>
      <w:r w:rsidRPr="000325B3">
        <w:rPr>
          <w:rFonts w:cs="Times New Roman"/>
          <w:i/>
        </w:rPr>
        <w:tab/>
      </w:r>
      <w:r>
        <w:rPr>
          <w:rFonts w:cs="Times New Roman"/>
          <w:i/>
        </w:rPr>
        <w:tab/>
      </w:r>
      <w:r w:rsidRPr="000325B3">
        <w:rPr>
          <w:rFonts w:cs="Times New Roman"/>
        </w:rPr>
        <w:t xml:space="preserve">Needham, MA: The Sloan Consortium. Retrieved from: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http://www.sloanconsortium.org </w:t>
      </w:r>
      <w:r w:rsidRPr="000325B3">
        <w:rPr>
          <w:rFonts w:cs="Times New Roman"/>
        </w:rPr>
        <w:t>/publications/survey/</w:t>
      </w:r>
      <w:proofErr w:type="spellStart"/>
      <w:r w:rsidRPr="000325B3">
        <w:rPr>
          <w:rFonts w:cs="Times New Roman"/>
        </w:rPr>
        <w:t>pdf</w:t>
      </w:r>
      <w:proofErr w:type="spellEnd"/>
      <w:r w:rsidRPr="000325B3">
        <w:rPr>
          <w:rFonts w:cs="Times New Roman"/>
        </w:rPr>
        <w:t xml:space="preserve">/online_nation.pdf  </w:t>
      </w:r>
    </w:p>
    <w:p w:rsidR="004C43AF" w:rsidRPr="000325B3" w:rsidRDefault="004C43AF" w:rsidP="009F78C5">
      <w:pPr>
        <w:tabs>
          <w:tab w:val="left" w:pos="284"/>
        </w:tabs>
        <w:spacing w:line="480" w:lineRule="auto"/>
        <w:ind w:firstLine="0"/>
        <w:rPr>
          <w:rFonts w:cs="Times New Roman"/>
        </w:rPr>
      </w:pPr>
      <w:r w:rsidRPr="000325B3">
        <w:rPr>
          <w:rFonts w:cs="Times New Roman"/>
        </w:rPr>
        <w:t xml:space="preserve">Allen, I. E., &amp; Seaman, J. (2010). </w:t>
      </w:r>
      <w:r w:rsidRPr="000325B3">
        <w:rPr>
          <w:rFonts w:cs="Times New Roman"/>
          <w:i/>
        </w:rPr>
        <w:t>Learning on demand:</w:t>
      </w:r>
      <w:r w:rsidRPr="000325B3">
        <w:rPr>
          <w:rFonts w:cs="Times New Roman"/>
        </w:rPr>
        <w:t xml:space="preserve"> </w:t>
      </w:r>
      <w:r w:rsidRPr="000325B3">
        <w:rPr>
          <w:rFonts w:cs="Times New Roman"/>
          <w:i/>
        </w:rPr>
        <w:t>Online e</w:t>
      </w:r>
      <w:r>
        <w:rPr>
          <w:rFonts w:cs="Times New Roman"/>
          <w:i/>
        </w:rPr>
        <w:t xml:space="preserve">ducation in the United </w:t>
      </w:r>
      <w:r>
        <w:rPr>
          <w:rFonts w:cs="Times New Roman"/>
          <w:i/>
        </w:rPr>
        <w:tab/>
      </w:r>
      <w:r>
        <w:rPr>
          <w:rFonts w:cs="Times New Roman"/>
          <w:i/>
        </w:rPr>
        <w:tab/>
      </w:r>
      <w:r>
        <w:rPr>
          <w:rFonts w:cs="Times New Roman"/>
          <w:i/>
        </w:rPr>
        <w:tab/>
        <w:t xml:space="preserve">States, </w:t>
      </w:r>
      <w:r w:rsidRPr="000325B3">
        <w:rPr>
          <w:rFonts w:cs="Times New Roman"/>
          <w:i/>
        </w:rPr>
        <w:t xml:space="preserve">2009. </w:t>
      </w:r>
      <w:r>
        <w:rPr>
          <w:rFonts w:cs="Times New Roman"/>
          <w:i/>
        </w:rPr>
        <w:tab/>
      </w:r>
      <w:r w:rsidRPr="000325B3">
        <w:rPr>
          <w:rFonts w:cs="Times New Roman"/>
        </w:rPr>
        <w:t xml:space="preserve">Babson Park, MA: Babson Survey Research Group. Retrieved from </w:t>
      </w:r>
      <w:r>
        <w:rPr>
          <w:rFonts w:cs="Times New Roman"/>
        </w:rPr>
        <w:tab/>
      </w:r>
      <w:r>
        <w:rPr>
          <w:rFonts w:cs="Times New Roman"/>
        </w:rPr>
        <w:tab/>
        <w:t>http://www.sloan</w:t>
      </w:r>
      <w:r w:rsidRPr="000325B3">
        <w:rPr>
          <w:rFonts w:cs="Times New Roman"/>
        </w:rPr>
        <w:t>consortium.org/publications/survey/pdf/learningondemand.pdf</w:t>
      </w:r>
    </w:p>
    <w:p w:rsidR="004C43AF" w:rsidRPr="000325B3" w:rsidRDefault="004C43AF" w:rsidP="009F78C5">
      <w:pPr>
        <w:tabs>
          <w:tab w:val="left" w:pos="284"/>
        </w:tabs>
        <w:spacing w:line="480" w:lineRule="auto"/>
        <w:ind w:firstLine="0"/>
        <w:rPr>
          <w:rFonts w:cs="Times New Roman"/>
        </w:rPr>
      </w:pPr>
      <w:r w:rsidRPr="000325B3">
        <w:rPr>
          <w:rFonts w:cs="Times New Roman"/>
        </w:rPr>
        <w:t xml:space="preserve">Allen, I. E., &amp; Seaman, J. (2011). </w:t>
      </w:r>
      <w:r w:rsidRPr="000325B3">
        <w:rPr>
          <w:rFonts w:cs="Times New Roman"/>
          <w:i/>
        </w:rPr>
        <w:t>Going the distance: Online e</w:t>
      </w:r>
      <w:r>
        <w:rPr>
          <w:rFonts w:cs="Times New Roman"/>
          <w:i/>
        </w:rPr>
        <w:t xml:space="preserve">ducation in the United </w:t>
      </w:r>
      <w:r>
        <w:rPr>
          <w:rFonts w:cs="Times New Roman"/>
          <w:i/>
        </w:rPr>
        <w:tab/>
      </w:r>
      <w:r>
        <w:rPr>
          <w:rFonts w:cs="Times New Roman"/>
          <w:i/>
        </w:rPr>
        <w:tab/>
      </w:r>
      <w:r>
        <w:rPr>
          <w:rFonts w:cs="Times New Roman"/>
          <w:i/>
        </w:rPr>
        <w:tab/>
        <w:t xml:space="preserve">States, </w:t>
      </w:r>
      <w:r w:rsidRPr="000325B3">
        <w:rPr>
          <w:rFonts w:cs="Times New Roman"/>
          <w:i/>
        </w:rPr>
        <w:t>2011.</w:t>
      </w:r>
      <w:r>
        <w:rPr>
          <w:rFonts w:cs="Times New Roman"/>
          <w:i/>
        </w:rPr>
        <w:t xml:space="preserve"> </w:t>
      </w:r>
      <w:r w:rsidRPr="000325B3">
        <w:rPr>
          <w:rFonts w:cs="Times New Roman"/>
        </w:rPr>
        <w:t xml:space="preserve">Babson Park, MA: Babson Park Research Group and Quahog </w:t>
      </w:r>
      <w:r>
        <w:rPr>
          <w:rFonts w:cs="Times New Roman"/>
        </w:rPr>
        <w:tab/>
      </w:r>
      <w:r>
        <w:rPr>
          <w:rFonts w:cs="Times New Roman"/>
        </w:rPr>
        <w:tab/>
      </w:r>
      <w:r>
        <w:rPr>
          <w:rFonts w:cs="Times New Roman"/>
        </w:rPr>
        <w:tab/>
      </w:r>
      <w:r w:rsidRPr="000325B3">
        <w:rPr>
          <w:rFonts w:cs="Times New Roman"/>
        </w:rPr>
        <w:t xml:space="preserve">Research Group. Retrieved from </w:t>
      </w:r>
      <w:r w:rsidRPr="000325B3">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325B3">
        <w:rPr>
          <w:rFonts w:cs="Times New Roman"/>
        </w:rPr>
        <w:t xml:space="preserve">http://www.onlinelearningsurvey.com/reports/goingthedistance.pdf  </w:t>
      </w:r>
    </w:p>
    <w:p w:rsidR="004C43AF" w:rsidRDefault="004C43AF" w:rsidP="009F78C5">
      <w:pPr>
        <w:tabs>
          <w:tab w:val="left" w:pos="284"/>
        </w:tabs>
        <w:spacing w:line="480" w:lineRule="auto"/>
        <w:ind w:firstLine="0"/>
        <w:rPr>
          <w:rFonts w:cs="Times New Roman"/>
        </w:rPr>
      </w:pPr>
      <w:r w:rsidRPr="000325B3">
        <w:rPr>
          <w:rFonts w:cs="Times New Roman"/>
        </w:rPr>
        <w:t xml:space="preserve">Allen, I. E., &amp; Seaman, J. (2013). </w:t>
      </w:r>
      <w:r w:rsidRPr="000325B3">
        <w:rPr>
          <w:rFonts w:cs="Times New Roman"/>
          <w:i/>
        </w:rPr>
        <w:t>Changing course: Ten years o</w:t>
      </w:r>
      <w:r>
        <w:rPr>
          <w:rFonts w:cs="Times New Roman"/>
          <w:i/>
        </w:rPr>
        <w:t xml:space="preserve">f tracking online </w:t>
      </w:r>
      <w:r>
        <w:rPr>
          <w:rFonts w:cs="Times New Roman"/>
          <w:i/>
        </w:rPr>
        <w:tab/>
      </w:r>
      <w:r>
        <w:rPr>
          <w:rFonts w:cs="Times New Roman"/>
          <w:i/>
        </w:rPr>
        <w:tab/>
      </w:r>
      <w:r>
        <w:rPr>
          <w:rFonts w:cs="Times New Roman"/>
          <w:i/>
        </w:rPr>
        <w:tab/>
        <w:t xml:space="preserve">education in </w:t>
      </w:r>
      <w:r w:rsidRPr="000325B3">
        <w:rPr>
          <w:rFonts w:cs="Times New Roman"/>
          <w:i/>
        </w:rPr>
        <w:t>the United States.</w:t>
      </w:r>
      <w:r w:rsidRPr="000325B3">
        <w:rPr>
          <w:rFonts w:cs="Times New Roman"/>
        </w:rPr>
        <w:t xml:space="preserve"> Babson Park, MA: Babson Park Research Group </w:t>
      </w:r>
      <w:r>
        <w:rPr>
          <w:rFonts w:cs="Times New Roman"/>
        </w:rPr>
        <w:tab/>
      </w:r>
      <w:r>
        <w:rPr>
          <w:rFonts w:cs="Times New Roman"/>
        </w:rPr>
        <w:tab/>
      </w:r>
      <w:r>
        <w:rPr>
          <w:rFonts w:cs="Times New Roman"/>
        </w:rPr>
        <w:tab/>
        <w:t xml:space="preserve">and Quahog Research </w:t>
      </w:r>
      <w:r w:rsidRPr="000325B3">
        <w:rPr>
          <w:rFonts w:cs="Times New Roman"/>
        </w:rPr>
        <w:t xml:space="preserve">Group. Retrieved from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0325B3">
        <w:rPr>
          <w:rFonts w:cs="Times New Roman"/>
        </w:rPr>
        <w:t xml:space="preserve">http://babson.qualtrics.com/SE/?SID=SV_4SjGnHcStH5g9G5 </w:t>
      </w:r>
      <w:r w:rsidRPr="000325B3">
        <w:rPr>
          <w:rFonts w:cs="Times New Roman"/>
          <w:i/>
        </w:rPr>
        <w:t xml:space="preserve"> </w:t>
      </w:r>
    </w:p>
    <w:p w:rsidR="004C43AF" w:rsidRDefault="004C43AF" w:rsidP="009F78C5">
      <w:pPr>
        <w:widowControl w:val="0"/>
        <w:tabs>
          <w:tab w:val="left" w:pos="709"/>
        </w:tabs>
        <w:autoSpaceDE w:val="0"/>
        <w:autoSpaceDN w:val="0"/>
        <w:adjustRightInd w:val="0"/>
        <w:spacing w:line="480" w:lineRule="auto"/>
        <w:ind w:hanging="38"/>
        <w:rPr>
          <w:szCs w:val="24"/>
        </w:rPr>
      </w:pPr>
      <w:r>
        <w:rPr>
          <w:szCs w:val="24"/>
        </w:rPr>
        <w:t xml:space="preserve">Anderson, T., </w:t>
      </w:r>
      <w:proofErr w:type="spellStart"/>
      <w:r>
        <w:rPr>
          <w:szCs w:val="24"/>
        </w:rPr>
        <w:t>Rourke</w:t>
      </w:r>
      <w:proofErr w:type="spellEnd"/>
      <w:r>
        <w:rPr>
          <w:szCs w:val="24"/>
        </w:rPr>
        <w:t xml:space="preserve">, L., Garrison, D. R., &amp; Archer, W. (2001). Assessing teaching </w:t>
      </w:r>
      <w:r>
        <w:rPr>
          <w:szCs w:val="24"/>
        </w:rPr>
        <w:tab/>
        <w:t xml:space="preserve">presence in a computer conferencing context. </w:t>
      </w:r>
      <w:r>
        <w:rPr>
          <w:i/>
          <w:szCs w:val="24"/>
        </w:rPr>
        <w:t xml:space="preserve">Journal of Asynchronous Learning </w:t>
      </w:r>
      <w:r>
        <w:rPr>
          <w:i/>
          <w:szCs w:val="24"/>
        </w:rPr>
        <w:tab/>
        <w:t>Networks, 5</w:t>
      </w:r>
      <w:r>
        <w:rPr>
          <w:szCs w:val="24"/>
        </w:rPr>
        <w:t xml:space="preserve">(2), 1-17. </w:t>
      </w:r>
    </w:p>
    <w:p w:rsidR="004C43AF" w:rsidRPr="004F2DCB" w:rsidRDefault="004C43AF" w:rsidP="009F78C5">
      <w:pPr>
        <w:widowControl w:val="0"/>
        <w:tabs>
          <w:tab w:val="left" w:pos="709"/>
        </w:tabs>
        <w:autoSpaceDE w:val="0"/>
        <w:autoSpaceDN w:val="0"/>
        <w:adjustRightInd w:val="0"/>
        <w:spacing w:line="480" w:lineRule="auto"/>
        <w:ind w:hanging="38"/>
        <w:rPr>
          <w:szCs w:val="24"/>
        </w:rPr>
      </w:pPr>
      <w:r w:rsidRPr="002E4EB5">
        <w:rPr>
          <w:szCs w:val="24"/>
        </w:rPr>
        <w:t xml:space="preserve">Annand, D. (2011). Social presence within the community of inquiry framework. </w:t>
      </w:r>
      <w:r>
        <w:rPr>
          <w:szCs w:val="24"/>
        </w:rPr>
        <w:tab/>
        <w:t xml:space="preserve">International </w:t>
      </w:r>
      <w:r w:rsidRPr="002E4EB5">
        <w:rPr>
          <w:szCs w:val="24"/>
        </w:rPr>
        <w:t xml:space="preserve">Review of Research in Open and Distance Learning, </w:t>
      </w:r>
      <w:r w:rsidRPr="002E4EB5">
        <w:rPr>
          <w:i/>
          <w:szCs w:val="24"/>
        </w:rPr>
        <w:t>12</w:t>
      </w:r>
      <w:r>
        <w:rPr>
          <w:szCs w:val="24"/>
        </w:rPr>
        <w:t>(5), 40-56</w:t>
      </w:r>
      <w:r w:rsidRPr="002E4EB5">
        <w:rPr>
          <w:szCs w:val="24"/>
        </w:rPr>
        <w:t>.</w:t>
      </w:r>
    </w:p>
    <w:p w:rsidR="004C43AF" w:rsidRPr="00E57B38" w:rsidRDefault="004C43AF" w:rsidP="009F78C5">
      <w:pPr>
        <w:widowControl w:val="0"/>
        <w:tabs>
          <w:tab w:val="left" w:pos="709"/>
        </w:tabs>
        <w:autoSpaceDE w:val="0"/>
        <w:autoSpaceDN w:val="0"/>
        <w:adjustRightInd w:val="0"/>
        <w:spacing w:line="480" w:lineRule="auto"/>
        <w:ind w:hanging="38"/>
        <w:rPr>
          <w:i/>
          <w:szCs w:val="24"/>
        </w:rPr>
      </w:pPr>
      <w:r>
        <w:rPr>
          <w:szCs w:val="24"/>
        </w:rPr>
        <w:t xml:space="preserve">Arbaugh, J. B. (2005). How much does “subject matter” matter? A study of disciplinary </w:t>
      </w:r>
      <w:r>
        <w:rPr>
          <w:szCs w:val="24"/>
        </w:rPr>
        <w:tab/>
        <w:t xml:space="preserve">effects in on-line MBA courses. </w:t>
      </w:r>
      <w:r>
        <w:rPr>
          <w:i/>
          <w:szCs w:val="24"/>
        </w:rPr>
        <w:t xml:space="preserve">Academy of Management Learning &amp; Education, </w:t>
      </w:r>
      <w:r>
        <w:rPr>
          <w:i/>
          <w:szCs w:val="24"/>
        </w:rPr>
        <w:tab/>
        <w:t>4</w:t>
      </w:r>
      <w:r>
        <w:rPr>
          <w:szCs w:val="24"/>
        </w:rPr>
        <w:t>(1), 57-73.</w:t>
      </w:r>
      <w:r>
        <w:rPr>
          <w:i/>
          <w:szCs w:val="24"/>
        </w:rPr>
        <w:t xml:space="preserve"> </w:t>
      </w:r>
    </w:p>
    <w:p w:rsidR="004C43AF" w:rsidRDefault="004C43AF" w:rsidP="009F78C5">
      <w:pPr>
        <w:widowControl w:val="0"/>
        <w:tabs>
          <w:tab w:val="left" w:pos="709"/>
        </w:tabs>
        <w:autoSpaceDE w:val="0"/>
        <w:autoSpaceDN w:val="0"/>
        <w:adjustRightInd w:val="0"/>
        <w:spacing w:line="480" w:lineRule="auto"/>
        <w:ind w:hanging="38"/>
        <w:rPr>
          <w:szCs w:val="24"/>
        </w:rPr>
      </w:pPr>
      <w:r>
        <w:rPr>
          <w:szCs w:val="24"/>
        </w:rPr>
        <w:t xml:space="preserve">Arbaugh, J. B. (2008). Does the community of inquiry framework predict outcomes in </w:t>
      </w:r>
      <w:r>
        <w:rPr>
          <w:szCs w:val="24"/>
        </w:rPr>
        <w:lastRenderedPageBreak/>
        <w:tab/>
        <w:t xml:space="preserve">online MBA courses? </w:t>
      </w:r>
      <w:r>
        <w:rPr>
          <w:i/>
          <w:szCs w:val="24"/>
        </w:rPr>
        <w:t xml:space="preserve">International Review of Research in Open and Distance </w:t>
      </w:r>
      <w:r>
        <w:rPr>
          <w:i/>
          <w:szCs w:val="24"/>
        </w:rPr>
        <w:tab/>
        <w:t>Learning, 9</w:t>
      </w:r>
      <w:r>
        <w:rPr>
          <w:szCs w:val="24"/>
        </w:rPr>
        <w:t>(2), 1-21.</w:t>
      </w:r>
    </w:p>
    <w:p w:rsidR="004C43AF" w:rsidRDefault="004C43AF" w:rsidP="009F78C5">
      <w:pPr>
        <w:spacing w:line="480" w:lineRule="auto"/>
        <w:ind w:left="737" w:hanging="737"/>
        <w:rPr>
          <w:szCs w:val="24"/>
        </w:rPr>
      </w:pPr>
      <w:r w:rsidRPr="006A6C08">
        <w:rPr>
          <w:szCs w:val="24"/>
        </w:rPr>
        <w:t xml:space="preserve">Arbaugh, B., Cleveland-Innes, M., Diaz, S., Ice, P., Garrison, D. R., Richardson, J. C., </w:t>
      </w:r>
      <w:r>
        <w:rPr>
          <w:szCs w:val="24"/>
        </w:rPr>
        <w:t>…</w:t>
      </w:r>
      <w:r w:rsidRPr="006A6C08">
        <w:rPr>
          <w:szCs w:val="24"/>
        </w:rPr>
        <w:t xml:space="preserve"> &amp; Swan, K. (2008). Developing a community of inquiry instrument: Testing a measure of the Community of Inquiry Framework using a multi-institutional sample. </w:t>
      </w:r>
      <w:r w:rsidRPr="006A6C08">
        <w:rPr>
          <w:i/>
          <w:szCs w:val="24"/>
        </w:rPr>
        <w:t>The Internet and Higher Education, 11</w:t>
      </w:r>
      <w:r w:rsidRPr="006A6C08">
        <w:rPr>
          <w:szCs w:val="24"/>
        </w:rPr>
        <w:t>(3-4), 133-136.</w:t>
      </w:r>
    </w:p>
    <w:p w:rsidR="004C43AF" w:rsidRDefault="004C43AF" w:rsidP="009F78C5">
      <w:pPr>
        <w:spacing w:line="480" w:lineRule="auto"/>
        <w:ind w:left="284" w:hanging="284"/>
        <w:rPr>
          <w:szCs w:val="24"/>
        </w:rPr>
      </w:pPr>
      <w:proofErr w:type="spellStart"/>
      <w:r w:rsidRPr="00563C54">
        <w:rPr>
          <w:szCs w:val="24"/>
        </w:rPr>
        <w:t>Baddeley</w:t>
      </w:r>
      <w:proofErr w:type="spellEnd"/>
      <w:r w:rsidRPr="00563C54">
        <w:rPr>
          <w:szCs w:val="24"/>
        </w:rPr>
        <w:t xml:space="preserve">, A. (1992). Working memory. </w:t>
      </w:r>
      <w:r w:rsidRPr="00563C54">
        <w:rPr>
          <w:i/>
          <w:szCs w:val="24"/>
        </w:rPr>
        <w:t>Science, 255,</w:t>
      </w:r>
      <w:r w:rsidRPr="00563C54">
        <w:rPr>
          <w:szCs w:val="24"/>
        </w:rPr>
        <w:t xml:space="preserve"> 556-559.</w:t>
      </w:r>
    </w:p>
    <w:p w:rsidR="004C43AF" w:rsidRPr="00AE31BA" w:rsidRDefault="004C43AF" w:rsidP="009F78C5">
      <w:pPr>
        <w:spacing w:line="480" w:lineRule="auto"/>
        <w:ind w:firstLine="0"/>
      </w:pPr>
      <w:proofErr w:type="spellStart"/>
      <w:r w:rsidRPr="00AE31BA">
        <w:t>Bannert</w:t>
      </w:r>
      <w:proofErr w:type="spellEnd"/>
      <w:r w:rsidRPr="00AE31BA">
        <w:t xml:space="preserve">, M. (2002). Managing cognitive load-recent trends in cognitive load theory. </w:t>
      </w:r>
    </w:p>
    <w:p w:rsidR="004C43AF" w:rsidRPr="00DE0DCA" w:rsidRDefault="004C43AF" w:rsidP="009F78C5">
      <w:pPr>
        <w:spacing w:line="480" w:lineRule="auto"/>
        <w:ind w:left="284" w:hanging="284"/>
        <w:rPr>
          <w:szCs w:val="24"/>
        </w:rPr>
      </w:pPr>
      <w:r>
        <w:rPr>
          <w:i/>
        </w:rPr>
        <w:tab/>
      </w:r>
      <w:r>
        <w:rPr>
          <w:i/>
        </w:rPr>
        <w:tab/>
      </w:r>
      <w:r w:rsidRPr="00AE31BA">
        <w:rPr>
          <w:i/>
        </w:rPr>
        <w:t xml:space="preserve">Learning and Instruction, 12, </w:t>
      </w:r>
      <w:r w:rsidRPr="00AE31BA">
        <w:t xml:space="preserve">139-146.   </w:t>
      </w:r>
    </w:p>
    <w:p w:rsidR="004C43AF" w:rsidRPr="004E132F" w:rsidRDefault="004C43AF" w:rsidP="009F78C5">
      <w:pPr>
        <w:tabs>
          <w:tab w:val="left" w:pos="284"/>
        </w:tabs>
        <w:spacing w:line="480" w:lineRule="auto"/>
        <w:ind w:firstLine="0"/>
      </w:pPr>
      <w:r w:rsidRPr="00587BCF">
        <w:t xml:space="preserve">Bernard, R. M., </w:t>
      </w:r>
      <w:proofErr w:type="spellStart"/>
      <w:r w:rsidRPr="00587BCF">
        <w:t>Abrami</w:t>
      </w:r>
      <w:proofErr w:type="spellEnd"/>
      <w:r w:rsidRPr="00587BCF">
        <w:t xml:space="preserve">, P. C., Lou, Y., &amp; </w:t>
      </w:r>
      <w:proofErr w:type="spellStart"/>
      <w:r w:rsidRPr="00587BCF">
        <w:t>Borokhovski</w:t>
      </w:r>
      <w:proofErr w:type="spellEnd"/>
      <w:r w:rsidRPr="00587BCF">
        <w:t xml:space="preserve">, E. (2004). A methodological </w:t>
      </w:r>
      <w:r w:rsidRPr="00587BCF">
        <w:tab/>
      </w:r>
      <w:r w:rsidRPr="00587BCF">
        <w:tab/>
      </w:r>
      <w:r w:rsidRPr="00587BCF">
        <w:tab/>
        <w:t xml:space="preserve">morass? How we can improve quantitative research in distance education. </w:t>
      </w:r>
      <w:r>
        <w:tab/>
      </w:r>
      <w:r>
        <w:tab/>
      </w:r>
      <w:r>
        <w:tab/>
      </w:r>
      <w:r>
        <w:rPr>
          <w:i/>
        </w:rPr>
        <w:t xml:space="preserve">Distance </w:t>
      </w:r>
      <w:r w:rsidRPr="00587BCF">
        <w:rPr>
          <w:i/>
        </w:rPr>
        <w:t>Education, 25</w:t>
      </w:r>
      <w:r w:rsidRPr="00587BCF">
        <w:t>(2), 175-198.</w:t>
      </w:r>
    </w:p>
    <w:p w:rsidR="004C43AF" w:rsidRPr="008427F2" w:rsidRDefault="004C43AF" w:rsidP="009F78C5">
      <w:pPr>
        <w:spacing w:line="480" w:lineRule="auto"/>
        <w:ind w:left="737" w:hanging="737"/>
        <w:rPr>
          <w:szCs w:val="24"/>
        </w:rPr>
      </w:pPr>
      <w:r w:rsidRPr="006A6C08">
        <w:rPr>
          <w:szCs w:val="24"/>
        </w:rPr>
        <w:t xml:space="preserve">Boston, W., Diaz, S., Gibson, A., Ice, P., Richardson, J., &amp; Swan, K. (2009). An exploration of the relationship between indicators of the Community of Inquiry Framework and retention in online programs. </w:t>
      </w:r>
      <w:r w:rsidRPr="006A6C08">
        <w:rPr>
          <w:i/>
          <w:szCs w:val="24"/>
        </w:rPr>
        <w:t>Journal of Asynchronous Learning Networks, 13</w:t>
      </w:r>
      <w:r w:rsidRPr="006A6C08">
        <w:rPr>
          <w:szCs w:val="24"/>
        </w:rPr>
        <w:t>(3), 67-83.</w:t>
      </w:r>
    </w:p>
    <w:p w:rsidR="004C43AF" w:rsidRPr="004E132F" w:rsidRDefault="004C43AF" w:rsidP="009F78C5">
      <w:pPr>
        <w:tabs>
          <w:tab w:val="left" w:pos="284"/>
        </w:tabs>
        <w:spacing w:line="480" w:lineRule="auto"/>
        <w:ind w:firstLine="0"/>
      </w:pPr>
      <w:r w:rsidRPr="00587BCF">
        <w:t xml:space="preserve">Carr, S. (2000). As distance education comes of age, the challenge is keeping the </w:t>
      </w:r>
      <w:r>
        <w:tab/>
      </w:r>
      <w:r>
        <w:tab/>
      </w:r>
      <w:r>
        <w:tab/>
        <w:t xml:space="preserve">students. </w:t>
      </w:r>
      <w:r w:rsidRPr="00587BCF">
        <w:rPr>
          <w:i/>
        </w:rPr>
        <w:t>The Chronicle of Higher Education, 46</w:t>
      </w:r>
      <w:r w:rsidRPr="00587BCF">
        <w:t>(23), A39-A41.</w:t>
      </w:r>
    </w:p>
    <w:p w:rsidR="004C43AF" w:rsidRDefault="004C43AF" w:rsidP="009F78C5">
      <w:pPr>
        <w:spacing w:line="480" w:lineRule="auto"/>
        <w:ind w:left="284" w:hanging="284"/>
        <w:rPr>
          <w:rFonts w:cs="Times New Roman"/>
          <w:szCs w:val="24"/>
        </w:rPr>
      </w:pPr>
      <w:r w:rsidRPr="00A146BC">
        <w:rPr>
          <w:rFonts w:cs="Times New Roman"/>
          <w:szCs w:val="24"/>
        </w:rPr>
        <w:t xml:space="preserve">Cowan, N. (2001). The magical number 4 in short-term memory: A reconsideration of </w:t>
      </w:r>
      <w:r>
        <w:rPr>
          <w:rFonts w:cs="Times New Roman"/>
          <w:szCs w:val="24"/>
        </w:rPr>
        <w:tab/>
      </w:r>
      <w:r w:rsidRPr="00A146BC">
        <w:rPr>
          <w:rFonts w:cs="Times New Roman"/>
          <w:szCs w:val="24"/>
        </w:rPr>
        <w:t xml:space="preserve">mental storage capacity. </w:t>
      </w:r>
      <w:r w:rsidRPr="00A146BC">
        <w:rPr>
          <w:rFonts w:cs="Times New Roman"/>
          <w:i/>
          <w:szCs w:val="24"/>
        </w:rPr>
        <w:t>Behavioral and Brain Sciences, 24</w:t>
      </w:r>
      <w:r w:rsidRPr="00A146BC">
        <w:rPr>
          <w:rFonts w:cs="Times New Roman"/>
          <w:szCs w:val="24"/>
        </w:rPr>
        <w:t>, 87-185.</w:t>
      </w:r>
    </w:p>
    <w:p w:rsidR="004C43AF" w:rsidRPr="004C719B" w:rsidRDefault="004C43AF" w:rsidP="009F78C5">
      <w:pPr>
        <w:spacing w:line="480" w:lineRule="auto"/>
        <w:ind w:left="284" w:hanging="284"/>
        <w:rPr>
          <w:rFonts w:cs="Times New Roman"/>
          <w:szCs w:val="24"/>
        </w:rPr>
      </w:pPr>
      <w:r>
        <w:rPr>
          <w:rFonts w:cs="Times New Roman"/>
          <w:szCs w:val="24"/>
        </w:rPr>
        <w:t>Cowan, N. (2010</w:t>
      </w:r>
      <w:r w:rsidRPr="00A146BC">
        <w:rPr>
          <w:rFonts w:cs="Times New Roman"/>
          <w:szCs w:val="24"/>
        </w:rPr>
        <w:t>).</w:t>
      </w:r>
      <w:r>
        <w:rPr>
          <w:rFonts w:cs="Times New Roman"/>
          <w:szCs w:val="24"/>
        </w:rPr>
        <w:t xml:space="preserve"> The magical mystery four: How is working memory capacity limited, </w:t>
      </w:r>
      <w:r>
        <w:rPr>
          <w:rFonts w:cs="Times New Roman"/>
          <w:szCs w:val="24"/>
        </w:rPr>
        <w:tab/>
        <w:t xml:space="preserve">and why? </w:t>
      </w:r>
      <w:r>
        <w:rPr>
          <w:rFonts w:cs="Times New Roman"/>
          <w:i/>
          <w:szCs w:val="24"/>
        </w:rPr>
        <w:t>Current Directions in Psychological Science, 19</w:t>
      </w:r>
      <w:r>
        <w:rPr>
          <w:rFonts w:cs="Times New Roman"/>
          <w:szCs w:val="24"/>
        </w:rPr>
        <w:t>(1), 51-57.</w:t>
      </w:r>
    </w:p>
    <w:p w:rsidR="004C43AF" w:rsidRPr="00F313C7" w:rsidRDefault="004C43AF" w:rsidP="009F78C5">
      <w:pPr>
        <w:autoSpaceDE w:val="0"/>
        <w:autoSpaceDN w:val="0"/>
        <w:adjustRightInd w:val="0"/>
        <w:spacing w:line="480" w:lineRule="auto"/>
        <w:ind w:firstLine="0"/>
        <w:rPr>
          <w:rFonts w:cs="Times New Roman"/>
          <w:szCs w:val="24"/>
        </w:rPr>
      </w:pPr>
      <w:r>
        <w:rPr>
          <w:rFonts w:cs="Times New Roman"/>
          <w:szCs w:val="24"/>
        </w:rPr>
        <w:lastRenderedPageBreak/>
        <w:t xml:space="preserve">Cross, K. P. (1998). Why learning communities? Why now. </w:t>
      </w:r>
      <w:r>
        <w:rPr>
          <w:rFonts w:cs="Times New Roman"/>
          <w:i/>
          <w:szCs w:val="24"/>
        </w:rPr>
        <w:t>About campus, 3</w:t>
      </w:r>
      <w:r>
        <w:rPr>
          <w:rFonts w:cs="Times New Roman"/>
          <w:szCs w:val="24"/>
        </w:rPr>
        <w:t xml:space="preserve">(3), </w:t>
      </w:r>
      <w:r>
        <w:rPr>
          <w:rFonts w:cs="Times New Roman"/>
          <w:szCs w:val="24"/>
        </w:rPr>
        <w:tab/>
        <w:t xml:space="preserve">4-11. Retrieved from </w:t>
      </w:r>
      <w:r w:rsidRPr="00DB0173">
        <w:rPr>
          <w:rFonts w:cs="Times New Roman"/>
          <w:szCs w:val="24"/>
        </w:rPr>
        <w:t>http://www.nhcuc.org/pdfs/CrossLC.pdf</w:t>
      </w:r>
    </w:p>
    <w:p w:rsidR="004C43AF" w:rsidRPr="0008045D" w:rsidRDefault="004C43AF" w:rsidP="009F78C5">
      <w:pPr>
        <w:tabs>
          <w:tab w:val="left" w:pos="284"/>
        </w:tabs>
        <w:spacing w:line="480" w:lineRule="auto"/>
        <w:ind w:firstLine="0"/>
        <w:rPr>
          <w:i/>
        </w:rPr>
      </w:pPr>
      <w:proofErr w:type="spellStart"/>
      <w:r>
        <w:t>Fredericksen</w:t>
      </w:r>
      <w:proofErr w:type="spellEnd"/>
      <w:r>
        <w:t xml:space="preserve">, E., Pickett, A., Shea, P., </w:t>
      </w:r>
      <w:proofErr w:type="spellStart"/>
      <w:r>
        <w:t>Pelz</w:t>
      </w:r>
      <w:proofErr w:type="spellEnd"/>
      <w:r>
        <w:t xml:space="preserve">, W., &amp; Swan, K. (2000). Student satisfaction </w:t>
      </w:r>
      <w:r>
        <w:tab/>
      </w:r>
      <w:r>
        <w:tab/>
        <w:t xml:space="preserve">and perceived learning with online courses: principles and examples </w:t>
      </w:r>
      <w:r>
        <w:tab/>
      </w:r>
      <w:r>
        <w:tab/>
      </w:r>
      <w:r>
        <w:tab/>
      </w:r>
      <w:r>
        <w:tab/>
        <w:t xml:space="preserve">from the SUNY learning network. </w:t>
      </w:r>
      <w:r>
        <w:rPr>
          <w:i/>
        </w:rPr>
        <w:t xml:space="preserve">Journal of Asynchronous </w:t>
      </w:r>
      <w:r>
        <w:rPr>
          <w:i/>
        </w:rPr>
        <w:tab/>
      </w:r>
      <w:r>
        <w:rPr>
          <w:i/>
        </w:rPr>
        <w:tab/>
      </w:r>
      <w:r>
        <w:rPr>
          <w:i/>
        </w:rPr>
        <w:tab/>
      </w:r>
      <w:r>
        <w:rPr>
          <w:i/>
        </w:rPr>
        <w:tab/>
      </w:r>
      <w:r>
        <w:rPr>
          <w:i/>
        </w:rPr>
        <w:tab/>
        <w:t>Learning Networks, 4</w:t>
      </w:r>
      <w:r>
        <w:t>(2), 7-41.</w:t>
      </w:r>
      <w:r>
        <w:rPr>
          <w:i/>
        </w:rPr>
        <w:t xml:space="preserve"> </w:t>
      </w:r>
    </w:p>
    <w:p w:rsidR="004C43AF" w:rsidRDefault="004C43AF" w:rsidP="009F78C5">
      <w:pPr>
        <w:tabs>
          <w:tab w:val="left" w:pos="284"/>
        </w:tabs>
        <w:spacing w:line="480" w:lineRule="auto"/>
        <w:ind w:firstLine="0"/>
        <w:rPr>
          <w:rFonts w:cs="Times New Roman"/>
          <w:color w:val="231F20"/>
          <w:szCs w:val="24"/>
        </w:rPr>
      </w:pPr>
      <w:r>
        <w:rPr>
          <w:rFonts w:cs="Times New Roman"/>
          <w:color w:val="231F20"/>
          <w:szCs w:val="24"/>
        </w:rPr>
        <w:t xml:space="preserve">Garrison, D. R. (2011). </w:t>
      </w:r>
      <w:r>
        <w:rPr>
          <w:rFonts w:cs="Times New Roman"/>
          <w:i/>
          <w:color w:val="231F20"/>
          <w:szCs w:val="24"/>
        </w:rPr>
        <w:t>E-learning in the 21</w:t>
      </w:r>
      <w:r w:rsidRPr="00952736">
        <w:rPr>
          <w:rFonts w:cs="Times New Roman"/>
          <w:i/>
          <w:color w:val="231F20"/>
          <w:szCs w:val="24"/>
          <w:vertAlign w:val="superscript"/>
        </w:rPr>
        <w:t>st</w:t>
      </w:r>
      <w:r>
        <w:rPr>
          <w:rFonts w:cs="Times New Roman"/>
          <w:i/>
          <w:color w:val="231F20"/>
          <w:szCs w:val="24"/>
        </w:rPr>
        <w:t xml:space="preserve"> century: A framework for research and </w:t>
      </w:r>
      <w:r>
        <w:rPr>
          <w:rFonts w:cs="Times New Roman"/>
          <w:i/>
          <w:color w:val="231F20"/>
          <w:szCs w:val="24"/>
        </w:rPr>
        <w:tab/>
      </w:r>
      <w:r>
        <w:rPr>
          <w:rFonts w:cs="Times New Roman"/>
          <w:i/>
          <w:color w:val="231F20"/>
          <w:szCs w:val="24"/>
        </w:rPr>
        <w:tab/>
      </w:r>
      <w:r>
        <w:rPr>
          <w:rFonts w:cs="Times New Roman"/>
          <w:i/>
          <w:color w:val="231F20"/>
          <w:szCs w:val="24"/>
        </w:rPr>
        <w:tab/>
        <w:t xml:space="preserve">practice </w:t>
      </w:r>
      <w:r>
        <w:rPr>
          <w:rFonts w:cs="Times New Roman"/>
          <w:color w:val="231F20"/>
          <w:szCs w:val="24"/>
        </w:rPr>
        <w:t>(2</w:t>
      </w:r>
      <w:r w:rsidRPr="0037303D">
        <w:rPr>
          <w:rFonts w:cs="Times New Roman"/>
          <w:color w:val="231F20"/>
          <w:szCs w:val="24"/>
          <w:vertAlign w:val="superscript"/>
        </w:rPr>
        <w:t>nd</w:t>
      </w:r>
      <w:r>
        <w:rPr>
          <w:rFonts w:cs="Times New Roman"/>
          <w:color w:val="231F20"/>
          <w:szCs w:val="24"/>
        </w:rPr>
        <w:t xml:space="preserve"> ed.) </w:t>
      </w:r>
      <w:r w:rsidRPr="00952736">
        <w:rPr>
          <w:rFonts w:cs="Times New Roman"/>
          <w:color w:val="231F20"/>
          <w:szCs w:val="24"/>
        </w:rPr>
        <w:t>[Kindle Fire</w:t>
      </w:r>
      <w:r>
        <w:rPr>
          <w:rFonts w:cs="Times New Roman"/>
          <w:color w:val="231F20"/>
          <w:szCs w:val="24"/>
        </w:rPr>
        <w:t xml:space="preserve"> version</w:t>
      </w:r>
      <w:r>
        <w:rPr>
          <w:rFonts w:cs="Times New Roman"/>
          <w:color w:val="231F20"/>
          <w:sz w:val="26"/>
          <w:szCs w:val="24"/>
        </w:rPr>
        <w:t>].</w:t>
      </w:r>
      <w:r>
        <w:rPr>
          <w:rFonts w:cs="Times New Roman"/>
          <w:color w:val="231F20"/>
          <w:szCs w:val="24"/>
        </w:rPr>
        <w:t xml:space="preserve"> Retrieved from </w:t>
      </w:r>
      <w:r w:rsidRPr="006566FB">
        <w:rPr>
          <w:rFonts w:cs="Times New Roman"/>
          <w:color w:val="231F20"/>
          <w:szCs w:val="24"/>
        </w:rPr>
        <w:t>http://www.amazon.com</w:t>
      </w:r>
    </w:p>
    <w:p w:rsidR="004C43AF" w:rsidRPr="009725A1" w:rsidRDefault="004C43AF" w:rsidP="009F78C5">
      <w:pPr>
        <w:tabs>
          <w:tab w:val="left" w:pos="284"/>
        </w:tabs>
        <w:spacing w:line="480" w:lineRule="auto"/>
        <w:ind w:firstLine="0"/>
        <w:rPr>
          <w:rFonts w:cs="Times New Roman"/>
          <w:color w:val="231F20"/>
          <w:szCs w:val="24"/>
        </w:rPr>
      </w:pPr>
      <w:r>
        <w:rPr>
          <w:rFonts w:cs="Times New Roman"/>
          <w:color w:val="231F20"/>
          <w:szCs w:val="24"/>
        </w:rPr>
        <w:t xml:space="preserve">Garrison, D. R. (2013). Theoretical foundations and epistemological insights of the </w:t>
      </w:r>
      <w:r>
        <w:rPr>
          <w:rFonts w:cs="Times New Roman"/>
          <w:color w:val="231F20"/>
          <w:szCs w:val="24"/>
        </w:rPr>
        <w:tab/>
      </w:r>
      <w:r>
        <w:rPr>
          <w:rFonts w:cs="Times New Roman"/>
          <w:color w:val="231F20"/>
          <w:szCs w:val="24"/>
        </w:rPr>
        <w:tab/>
      </w:r>
      <w:r>
        <w:rPr>
          <w:rFonts w:cs="Times New Roman"/>
          <w:color w:val="231F20"/>
          <w:szCs w:val="24"/>
        </w:rPr>
        <w:tab/>
        <w:t xml:space="preserve">community of inquiry. In Z. Akyol &amp; D. R. Garrison (Eds.), </w:t>
      </w:r>
      <w:r>
        <w:rPr>
          <w:rFonts w:cs="Times New Roman"/>
          <w:i/>
          <w:color w:val="231F20"/>
          <w:szCs w:val="24"/>
        </w:rPr>
        <w:t xml:space="preserve">Educational </w:t>
      </w:r>
      <w:r>
        <w:rPr>
          <w:rFonts w:cs="Times New Roman"/>
          <w:i/>
          <w:color w:val="231F20"/>
          <w:szCs w:val="24"/>
        </w:rPr>
        <w:tab/>
      </w:r>
      <w:r>
        <w:rPr>
          <w:rFonts w:cs="Times New Roman"/>
          <w:i/>
          <w:color w:val="231F20"/>
          <w:szCs w:val="24"/>
        </w:rPr>
        <w:tab/>
      </w:r>
      <w:r>
        <w:rPr>
          <w:rFonts w:cs="Times New Roman"/>
          <w:i/>
          <w:color w:val="231F20"/>
          <w:szCs w:val="24"/>
        </w:rPr>
        <w:tab/>
      </w:r>
      <w:r>
        <w:rPr>
          <w:rFonts w:cs="Times New Roman"/>
          <w:i/>
          <w:color w:val="231F20"/>
          <w:szCs w:val="24"/>
        </w:rPr>
        <w:tab/>
        <w:t xml:space="preserve">communities of inquiry: Theoretical framework, research, and practice </w:t>
      </w:r>
      <w:r>
        <w:rPr>
          <w:rFonts w:cs="Times New Roman"/>
          <w:color w:val="231F20"/>
          <w:szCs w:val="24"/>
        </w:rPr>
        <w:t xml:space="preserve">(pp. 1-11). </w:t>
      </w:r>
      <w:r>
        <w:rPr>
          <w:rFonts w:cs="Times New Roman"/>
          <w:color w:val="231F20"/>
          <w:szCs w:val="24"/>
        </w:rPr>
        <w:tab/>
      </w:r>
      <w:r>
        <w:rPr>
          <w:rFonts w:cs="Times New Roman"/>
          <w:color w:val="231F20"/>
          <w:szCs w:val="24"/>
        </w:rPr>
        <w:tab/>
        <w:t>Hershey, PA: IGI Global.</w:t>
      </w:r>
    </w:p>
    <w:p w:rsidR="004C43AF" w:rsidRDefault="004C43AF" w:rsidP="009F78C5">
      <w:pPr>
        <w:tabs>
          <w:tab w:val="left" w:pos="284"/>
        </w:tabs>
        <w:spacing w:line="480" w:lineRule="auto"/>
        <w:ind w:firstLine="0"/>
        <w:rPr>
          <w:rFonts w:cs="Times New Roman"/>
          <w:color w:val="231F20"/>
          <w:szCs w:val="24"/>
        </w:rPr>
      </w:pPr>
      <w:r>
        <w:rPr>
          <w:rFonts w:cs="Times New Roman"/>
          <w:color w:val="231F20"/>
          <w:szCs w:val="24"/>
        </w:rPr>
        <w:t xml:space="preserve">Garrison, D. R., &amp; Akyol, Z. (2013a). The community of inquiry theoretical framework. </w:t>
      </w:r>
      <w:r>
        <w:rPr>
          <w:rFonts w:cs="Times New Roman"/>
          <w:color w:val="231F20"/>
          <w:szCs w:val="24"/>
        </w:rPr>
        <w:tab/>
      </w:r>
      <w:r>
        <w:rPr>
          <w:rFonts w:cs="Times New Roman"/>
          <w:color w:val="231F20"/>
          <w:szCs w:val="24"/>
        </w:rPr>
        <w:tab/>
        <w:t xml:space="preserve">In M. G. Moore (Ed.), </w:t>
      </w:r>
      <w:r>
        <w:rPr>
          <w:rFonts w:cs="Times New Roman"/>
          <w:i/>
          <w:color w:val="231F20"/>
          <w:szCs w:val="24"/>
        </w:rPr>
        <w:t xml:space="preserve">Handbook of distance education </w:t>
      </w:r>
      <w:r>
        <w:rPr>
          <w:rFonts w:cs="Times New Roman"/>
          <w:color w:val="231F20"/>
          <w:szCs w:val="24"/>
        </w:rPr>
        <w:t xml:space="preserve">(pp. 104-119). </w:t>
      </w:r>
      <w:r>
        <w:rPr>
          <w:rFonts w:cs="Times New Roman"/>
          <w:color w:val="231F20"/>
          <w:szCs w:val="24"/>
        </w:rPr>
        <w:tab/>
      </w:r>
      <w:r>
        <w:rPr>
          <w:rFonts w:cs="Times New Roman"/>
          <w:color w:val="231F20"/>
          <w:szCs w:val="24"/>
        </w:rPr>
        <w:tab/>
      </w:r>
      <w:r>
        <w:rPr>
          <w:rFonts w:cs="Times New Roman"/>
          <w:color w:val="231F20"/>
          <w:szCs w:val="24"/>
        </w:rPr>
        <w:tab/>
      </w:r>
      <w:r>
        <w:rPr>
          <w:rFonts w:cs="Times New Roman"/>
          <w:color w:val="231F20"/>
          <w:szCs w:val="24"/>
        </w:rPr>
        <w:tab/>
        <w:t xml:space="preserve">New York, NY: Routledge. </w:t>
      </w:r>
    </w:p>
    <w:p w:rsidR="004C43AF" w:rsidRPr="001A498C" w:rsidRDefault="004C43AF" w:rsidP="009F78C5">
      <w:pPr>
        <w:tabs>
          <w:tab w:val="left" w:pos="284"/>
        </w:tabs>
        <w:spacing w:line="480" w:lineRule="auto"/>
        <w:ind w:firstLine="0"/>
        <w:rPr>
          <w:rFonts w:cs="Times New Roman"/>
          <w:color w:val="000000"/>
          <w:szCs w:val="24"/>
        </w:rPr>
      </w:pPr>
      <w:r>
        <w:rPr>
          <w:rFonts w:cs="Times New Roman"/>
          <w:color w:val="231F20"/>
          <w:szCs w:val="24"/>
        </w:rPr>
        <w:t xml:space="preserve">Garrison, D. R., &amp; Akyol, Z. (2013b). Toward the development of a metacognition  </w:t>
      </w:r>
      <w:r>
        <w:rPr>
          <w:rFonts w:cs="Times New Roman"/>
          <w:color w:val="231F20"/>
          <w:szCs w:val="24"/>
        </w:rPr>
        <w:tab/>
      </w:r>
      <w:r>
        <w:rPr>
          <w:rFonts w:cs="Times New Roman"/>
          <w:color w:val="231F20"/>
          <w:szCs w:val="24"/>
        </w:rPr>
        <w:tab/>
      </w:r>
      <w:r>
        <w:rPr>
          <w:rFonts w:cs="Times New Roman"/>
          <w:color w:val="231F20"/>
          <w:szCs w:val="24"/>
        </w:rPr>
        <w:tab/>
        <w:t xml:space="preserve">construct for communities of inquiry. </w:t>
      </w:r>
      <w:r>
        <w:rPr>
          <w:rFonts w:cs="Times New Roman"/>
          <w:i/>
          <w:color w:val="231F20"/>
          <w:szCs w:val="24"/>
        </w:rPr>
        <w:t xml:space="preserve">Internet and Higher Education, 17, </w:t>
      </w:r>
      <w:r>
        <w:rPr>
          <w:rFonts w:cs="Times New Roman"/>
          <w:color w:val="231F20"/>
          <w:szCs w:val="24"/>
        </w:rPr>
        <w:t>84-89.</w:t>
      </w:r>
    </w:p>
    <w:p w:rsidR="004C43AF" w:rsidRDefault="004C43AF" w:rsidP="009F78C5">
      <w:pPr>
        <w:spacing w:line="480" w:lineRule="auto"/>
        <w:ind w:firstLine="0"/>
      </w:pPr>
      <w:r w:rsidRPr="00A45D65">
        <w:t xml:space="preserve">Garrison, D. R., Anderson, T., Archer, W. (2000). Critical inquiry in a text-based </w:t>
      </w:r>
      <w:r w:rsidRPr="00A45D65">
        <w:tab/>
      </w:r>
      <w:r>
        <w:t>environment: Computer con</w:t>
      </w:r>
      <w:r w:rsidRPr="00A45D65">
        <w:t xml:space="preserve">ferencing in higher education. The Internet and </w:t>
      </w:r>
      <w:r w:rsidRPr="00A45D65">
        <w:tab/>
        <w:t>Higher Education, 2(2-3), 87-105.</w:t>
      </w:r>
    </w:p>
    <w:p w:rsidR="004C43AF" w:rsidRDefault="004C43AF" w:rsidP="009F78C5">
      <w:pPr>
        <w:spacing w:line="480" w:lineRule="auto"/>
        <w:ind w:firstLine="0"/>
      </w:pPr>
      <w:r w:rsidRPr="005560D1">
        <w:t xml:space="preserve">Garrison, D. R., Anderson, T., Archer, W. (2001). Critical thinking, cognitive presence, </w:t>
      </w:r>
      <w:r>
        <w:tab/>
        <w:t>and compu</w:t>
      </w:r>
      <w:r w:rsidRPr="005560D1">
        <w:t xml:space="preserve">ter conferencing in distance education. The American Journal of </w:t>
      </w:r>
      <w:r>
        <w:tab/>
      </w:r>
      <w:r w:rsidRPr="005560D1">
        <w:t>Distance Education, 15(1), 7-23.</w:t>
      </w:r>
    </w:p>
    <w:p w:rsidR="004C43AF" w:rsidRPr="00AE277A" w:rsidRDefault="004C43AF" w:rsidP="009F78C5">
      <w:pPr>
        <w:spacing w:line="480" w:lineRule="auto"/>
        <w:ind w:firstLine="0"/>
        <w:rPr>
          <w:rFonts w:cs="Times New Roman"/>
          <w:color w:val="231F20"/>
          <w:szCs w:val="24"/>
        </w:rPr>
      </w:pPr>
      <w:r w:rsidRPr="00A45D65">
        <w:lastRenderedPageBreak/>
        <w:t>Garrison, D. R.</w:t>
      </w:r>
      <w:r>
        <w:t>, Anderson, T., Archer, W. (2010</w:t>
      </w:r>
      <w:r w:rsidRPr="00A45D65">
        <w:t>).</w:t>
      </w:r>
      <w:r>
        <w:t xml:space="preserve"> The first decade of the community of </w:t>
      </w:r>
      <w:r>
        <w:tab/>
        <w:t xml:space="preserve">inquiry framework: A retrospective. </w:t>
      </w:r>
      <w:r>
        <w:rPr>
          <w:rFonts w:cs="Times New Roman"/>
          <w:i/>
          <w:color w:val="231F20"/>
          <w:szCs w:val="24"/>
        </w:rPr>
        <w:t xml:space="preserve">The Internet and Higher </w:t>
      </w:r>
      <w:r w:rsidRPr="006A6C08">
        <w:rPr>
          <w:rFonts w:cs="Times New Roman"/>
          <w:i/>
          <w:color w:val="231F20"/>
          <w:szCs w:val="24"/>
        </w:rPr>
        <w:t>Education</w:t>
      </w:r>
      <w:r>
        <w:rPr>
          <w:rFonts w:cs="Times New Roman"/>
          <w:i/>
          <w:color w:val="231F20"/>
          <w:szCs w:val="24"/>
        </w:rPr>
        <w:t xml:space="preserve">, 13, </w:t>
      </w:r>
      <w:r>
        <w:rPr>
          <w:rFonts w:cs="Times New Roman"/>
          <w:color w:val="231F20"/>
          <w:szCs w:val="24"/>
        </w:rPr>
        <w:t>5-9.</w:t>
      </w:r>
    </w:p>
    <w:p w:rsidR="004C43AF" w:rsidRPr="001A498C" w:rsidRDefault="004C43AF" w:rsidP="009F78C5">
      <w:pPr>
        <w:tabs>
          <w:tab w:val="left" w:pos="284"/>
        </w:tabs>
        <w:spacing w:line="480" w:lineRule="auto"/>
        <w:ind w:firstLine="0"/>
        <w:rPr>
          <w:rFonts w:cs="Times New Roman"/>
          <w:color w:val="231F20"/>
          <w:szCs w:val="24"/>
        </w:rPr>
      </w:pPr>
      <w:r w:rsidRPr="006A6C08">
        <w:rPr>
          <w:rFonts w:cs="Times New Roman"/>
          <w:color w:val="231F20"/>
          <w:szCs w:val="24"/>
        </w:rPr>
        <w:t xml:space="preserve">Garrison, D. R., &amp; </w:t>
      </w:r>
      <w:r>
        <w:rPr>
          <w:rFonts w:cs="Times New Roman"/>
          <w:color w:val="231F20"/>
          <w:szCs w:val="24"/>
        </w:rPr>
        <w:t>Arbaugh</w:t>
      </w:r>
      <w:r w:rsidRPr="006A6C08">
        <w:rPr>
          <w:rFonts w:cs="Times New Roman"/>
          <w:color w:val="231F20"/>
          <w:szCs w:val="24"/>
        </w:rPr>
        <w:t>, J. B. (2007). Researching the co</w:t>
      </w:r>
      <w:r>
        <w:rPr>
          <w:rFonts w:cs="Times New Roman"/>
          <w:color w:val="231F20"/>
          <w:szCs w:val="24"/>
        </w:rPr>
        <w:t xml:space="preserve">mmunity of inquiry </w:t>
      </w:r>
      <w:r>
        <w:rPr>
          <w:rFonts w:cs="Times New Roman"/>
          <w:color w:val="231F20"/>
          <w:szCs w:val="24"/>
        </w:rPr>
        <w:tab/>
      </w:r>
      <w:r>
        <w:rPr>
          <w:rFonts w:cs="Times New Roman"/>
          <w:color w:val="231F20"/>
          <w:szCs w:val="24"/>
        </w:rPr>
        <w:tab/>
      </w:r>
      <w:r>
        <w:rPr>
          <w:rFonts w:cs="Times New Roman"/>
          <w:color w:val="231F20"/>
          <w:szCs w:val="24"/>
        </w:rPr>
        <w:tab/>
        <w:t xml:space="preserve">framework: </w:t>
      </w:r>
      <w:r w:rsidRPr="006A6C08">
        <w:rPr>
          <w:rFonts w:cs="Times New Roman"/>
          <w:color w:val="231F20"/>
          <w:szCs w:val="24"/>
        </w:rPr>
        <w:t xml:space="preserve">Review, issues, and future directions. </w:t>
      </w:r>
      <w:r w:rsidRPr="006A6C08">
        <w:rPr>
          <w:rFonts w:cs="Times New Roman"/>
          <w:i/>
          <w:color w:val="231F20"/>
          <w:szCs w:val="24"/>
        </w:rPr>
        <w:t xml:space="preserve">The Internet and Higher </w:t>
      </w:r>
      <w:r>
        <w:rPr>
          <w:rFonts w:cs="Times New Roman"/>
          <w:i/>
          <w:color w:val="231F20"/>
          <w:szCs w:val="24"/>
        </w:rPr>
        <w:tab/>
      </w:r>
      <w:r>
        <w:rPr>
          <w:rFonts w:cs="Times New Roman"/>
          <w:i/>
          <w:color w:val="231F20"/>
          <w:szCs w:val="24"/>
        </w:rPr>
        <w:tab/>
      </w:r>
      <w:r>
        <w:rPr>
          <w:rFonts w:cs="Times New Roman"/>
          <w:i/>
          <w:color w:val="231F20"/>
          <w:szCs w:val="24"/>
        </w:rPr>
        <w:tab/>
      </w:r>
      <w:r w:rsidRPr="006A6C08">
        <w:rPr>
          <w:rFonts w:cs="Times New Roman"/>
          <w:i/>
          <w:color w:val="231F20"/>
          <w:szCs w:val="24"/>
        </w:rPr>
        <w:t>Education, 10</w:t>
      </w:r>
      <w:r>
        <w:rPr>
          <w:rFonts w:cs="Times New Roman"/>
          <w:color w:val="231F20"/>
          <w:szCs w:val="24"/>
        </w:rPr>
        <w:t>(3)</w:t>
      </w:r>
      <w:r w:rsidRPr="006A6C08">
        <w:rPr>
          <w:rFonts w:cs="Times New Roman"/>
          <w:i/>
          <w:color w:val="231F20"/>
          <w:szCs w:val="24"/>
        </w:rPr>
        <w:t xml:space="preserve">, </w:t>
      </w:r>
      <w:r w:rsidRPr="006A6C08">
        <w:rPr>
          <w:rFonts w:cs="Times New Roman"/>
          <w:color w:val="231F20"/>
          <w:szCs w:val="24"/>
        </w:rPr>
        <w:t>157-172.</w:t>
      </w:r>
    </w:p>
    <w:p w:rsidR="004C43AF" w:rsidRPr="00834A58" w:rsidRDefault="004C43AF" w:rsidP="009F78C5">
      <w:pPr>
        <w:tabs>
          <w:tab w:val="left" w:pos="284"/>
        </w:tabs>
        <w:spacing w:line="480" w:lineRule="auto"/>
        <w:ind w:firstLine="0"/>
      </w:pPr>
      <w:r w:rsidRPr="007B6366">
        <w:t xml:space="preserve">Ice, P., Gibson, A. M., Boston, W., &amp; </w:t>
      </w:r>
      <w:proofErr w:type="spellStart"/>
      <w:r w:rsidRPr="007B6366">
        <w:t>Becher</w:t>
      </w:r>
      <w:proofErr w:type="spellEnd"/>
      <w:r w:rsidRPr="007B6366">
        <w:t xml:space="preserve">, D. (2011). An Exploration of Differences </w:t>
      </w:r>
      <w:r>
        <w:tab/>
      </w:r>
      <w:r>
        <w:tab/>
      </w:r>
      <w:r w:rsidRPr="007B6366">
        <w:t xml:space="preserve">Between Community of Inquiry Indicators in Low and High Disenrollment Online </w:t>
      </w:r>
      <w:r>
        <w:tab/>
      </w:r>
      <w:r>
        <w:tab/>
      </w:r>
      <w:r w:rsidRPr="007B6366">
        <w:t xml:space="preserve">Courses. </w:t>
      </w:r>
      <w:r w:rsidRPr="007B6366">
        <w:rPr>
          <w:i/>
          <w:iCs/>
        </w:rPr>
        <w:t>Journal of Asynchronous Learning Networks</w:t>
      </w:r>
      <w:r w:rsidRPr="007B6366">
        <w:t xml:space="preserve">, </w:t>
      </w:r>
      <w:r w:rsidRPr="007B6366">
        <w:rPr>
          <w:i/>
          <w:iCs/>
        </w:rPr>
        <w:t>15</w:t>
      </w:r>
      <w:r w:rsidRPr="007B6366">
        <w:t>(2), 44-69.</w:t>
      </w:r>
    </w:p>
    <w:p w:rsidR="004C43AF" w:rsidRPr="00174144" w:rsidRDefault="004C43AF" w:rsidP="009F78C5">
      <w:pPr>
        <w:tabs>
          <w:tab w:val="left" w:pos="284"/>
        </w:tabs>
        <w:spacing w:line="480" w:lineRule="auto"/>
        <w:ind w:firstLine="0"/>
      </w:pPr>
      <w:proofErr w:type="spellStart"/>
      <w:r w:rsidRPr="00587BCF">
        <w:t>Ivankova</w:t>
      </w:r>
      <w:proofErr w:type="spellEnd"/>
      <w:r w:rsidRPr="00587BCF">
        <w:t xml:space="preserve">, N. V., &amp; Stick, S. L. (2007). Collegiality and community-building as a means </w:t>
      </w:r>
      <w:r>
        <w:tab/>
      </w:r>
      <w:r>
        <w:tab/>
        <w:t xml:space="preserve">for </w:t>
      </w:r>
      <w:r w:rsidRPr="00587BCF">
        <w:t xml:space="preserve">sustaining student persistence in the computer-mediated </w:t>
      </w:r>
      <w:r>
        <w:tab/>
      </w:r>
      <w:r>
        <w:tab/>
      </w:r>
      <w:r>
        <w:tab/>
      </w:r>
      <w:r>
        <w:tab/>
      </w:r>
      <w:r>
        <w:tab/>
        <w:t xml:space="preserve">asynchronous learning </w:t>
      </w:r>
      <w:r w:rsidRPr="00587BCF">
        <w:t xml:space="preserve">environment. </w:t>
      </w:r>
      <w:r w:rsidRPr="00587BCF">
        <w:rPr>
          <w:i/>
        </w:rPr>
        <w:t xml:space="preserve">Online Journal of </w:t>
      </w:r>
      <w:r>
        <w:rPr>
          <w:i/>
        </w:rPr>
        <w:tab/>
      </w:r>
      <w:r>
        <w:rPr>
          <w:i/>
        </w:rPr>
        <w:tab/>
      </w:r>
      <w:r>
        <w:rPr>
          <w:i/>
        </w:rPr>
        <w:tab/>
      </w:r>
      <w:r>
        <w:rPr>
          <w:i/>
        </w:rPr>
        <w:tab/>
      </w:r>
      <w:r>
        <w:rPr>
          <w:i/>
        </w:rPr>
        <w:tab/>
      </w:r>
      <w:r>
        <w:rPr>
          <w:i/>
        </w:rPr>
        <w:tab/>
      </w:r>
      <w:r w:rsidRPr="00587BCF">
        <w:rPr>
          <w:i/>
        </w:rPr>
        <w:t>Distance Learning Administration, 8</w:t>
      </w:r>
      <w:r w:rsidRPr="00587BCF">
        <w:t xml:space="preserve">(3). </w:t>
      </w:r>
    </w:p>
    <w:p w:rsidR="004C43AF" w:rsidRPr="00A1483A" w:rsidRDefault="004C43AF" w:rsidP="009F78C5">
      <w:pPr>
        <w:spacing w:line="480" w:lineRule="auto"/>
        <w:ind w:left="737" w:hanging="737"/>
        <w:rPr>
          <w:szCs w:val="24"/>
        </w:rPr>
      </w:pPr>
      <w:r>
        <w:rPr>
          <w:szCs w:val="24"/>
        </w:rPr>
        <w:t xml:space="preserve">Kalyuga, S. (2011). Cognitive load theory: How many types of load does it really need? </w:t>
      </w:r>
      <w:r>
        <w:rPr>
          <w:i/>
          <w:szCs w:val="24"/>
        </w:rPr>
        <w:t>Educational Psychology Review, 23</w:t>
      </w:r>
      <w:r>
        <w:rPr>
          <w:szCs w:val="24"/>
        </w:rPr>
        <w:t>(1), 1-19.</w:t>
      </w:r>
    </w:p>
    <w:p w:rsidR="004C43AF" w:rsidRPr="00914452" w:rsidRDefault="004C43AF" w:rsidP="009F78C5">
      <w:pPr>
        <w:autoSpaceDE w:val="0"/>
        <w:autoSpaceDN w:val="0"/>
        <w:adjustRightInd w:val="0"/>
        <w:spacing w:line="480" w:lineRule="auto"/>
        <w:ind w:firstLine="0"/>
        <w:rPr>
          <w:rFonts w:cs="Times New Roman"/>
          <w:color w:val="292526"/>
          <w:szCs w:val="24"/>
        </w:rPr>
      </w:pPr>
      <w:r>
        <w:rPr>
          <w:rFonts w:cs="Times New Roman"/>
          <w:color w:val="292526"/>
          <w:szCs w:val="24"/>
        </w:rPr>
        <w:t xml:space="preserve">Kozan, K. (2009). Effects of multimedia modality and L2 working memory capacity on </w:t>
      </w:r>
      <w:r>
        <w:rPr>
          <w:rFonts w:cs="Times New Roman"/>
          <w:color w:val="292526"/>
          <w:szCs w:val="24"/>
        </w:rPr>
        <w:tab/>
        <w:t xml:space="preserve">L2 comprehension. </w:t>
      </w:r>
      <w:r>
        <w:rPr>
          <w:rFonts w:cs="Times New Roman"/>
          <w:i/>
          <w:color w:val="292526"/>
          <w:szCs w:val="24"/>
        </w:rPr>
        <w:t xml:space="preserve">Unpublished Master of Arts Thesis, </w:t>
      </w:r>
      <w:proofErr w:type="spellStart"/>
      <w:r>
        <w:rPr>
          <w:rFonts w:cs="Times New Roman"/>
          <w:i/>
          <w:color w:val="292526"/>
          <w:szCs w:val="24"/>
        </w:rPr>
        <w:t>Bogazici</w:t>
      </w:r>
      <w:proofErr w:type="spellEnd"/>
      <w:r>
        <w:rPr>
          <w:rFonts w:cs="Times New Roman"/>
          <w:i/>
          <w:color w:val="292526"/>
          <w:szCs w:val="24"/>
        </w:rPr>
        <w:t xml:space="preserve"> University, </w:t>
      </w:r>
      <w:r>
        <w:rPr>
          <w:rFonts w:cs="Times New Roman"/>
          <w:i/>
          <w:color w:val="292526"/>
          <w:szCs w:val="24"/>
        </w:rPr>
        <w:tab/>
        <w:t>Istanbul, Turkey.</w:t>
      </w:r>
    </w:p>
    <w:p w:rsidR="004C43AF" w:rsidRPr="00E71574" w:rsidRDefault="004C43AF" w:rsidP="009F78C5">
      <w:pPr>
        <w:autoSpaceDE w:val="0"/>
        <w:autoSpaceDN w:val="0"/>
        <w:adjustRightInd w:val="0"/>
        <w:spacing w:line="480" w:lineRule="auto"/>
        <w:ind w:firstLine="0"/>
        <w:rPr>
          <w:rFonts w:cs="Times New Roman"/>
          <w:color w:val="292526"/>
          <w:szCs w:val="24"/>
        </w:rPr>
      </w:pPr>
      <w:r w:rsidRPr="00E71574">
        <w:rPr>
          <w:rFonts w:cs="Times New Roman"/>
          <w:color w:val="292526"/>
          <w:szCs w:val="24"/>
        </w:rPr>
        <w:t xml:space="preserve">Leahy, W., Chandler, P., &amp; Sweller, J. (2003). When auditory presentations should </w:t>
      </w:r>
    </w:p>
    <w:p w:rsidR="004C43AF" w:rsidRPr="00E71574" w:rsidRDefault="004C43AF" w:rsidP="009F78C5">
      <w:pPr>
        <w:autoSpaceDE w:val="0"/>
        <w:autoSpaceDN w:val="0"/>
        <w:adjustRightInd w:val="0"/>
        <w:spacing w:line="480" w:lineRule="auto"/>
        <w:rPr>
          <w:rFonts w:cs="Times New Roman"/>
          <w:i/>
          <w:color w:val="292526"/>
          <w:szCs w:val="24"/>
        </w:rPr>
      </w:pPr>
      <w:r w:rsidRPr="00E71574">
        <w:rPr>
          <w:rFonts w:cs="Times New Roman"/>
          <w:color w:val="292526"/>
          <w:szCs w:val="24"/>
        </w:rPr>
        <w:t xml:space="preserve">     and should not be a component of multimedia instruction. </w:t>
      </w:r>
      <w:r w:rsidRPr="00E71574">
        <w:rPr>
          <w:rFonts w:cs="Times New Roman"/>
          <w:i/>
          <w:color w:val="292526"/>
          <w:szCs w:val="24"/>
        </w:rPr>
        <w:t xml:space="preserve">Applied Cognitive </w:t>
      </w:r>
    </w:p>
    <w:p w:rsidR="004C43AF" w:rsidRPr="00E71574" w:rsidRDefault="004C43AF" w:rsidP="009F78C5">
      <w:pPr>
        <w:autoSpaceDE w:val="0"/>
        <w:autoSpaceDN w:val="0"/>
        <w:adjustRightInd w:val="0"/>
        <w:spacing w:line="480" w:lineRule="auto"/>
        <w:rPr>
          <w:rFonts w:cs="Times New Roman"/>
          <w:color w:val="292526"/>
          <w:szCs w:val="24"/>
        </w:rPr>
      </w:pPr>
      <w:r w:rsidRPr="00E71574">
        <w:rPr>
          <w:rFonts w:cs="Times New Roman"/>
          <w:i/>
          <w:color w:val="292526"/>
          <w:szCs w:val="24"/>
        </w:rPr>
        <w:t xml:space="preserve">     Psychology,17, </w:t>
      </w:r>
      <w:r w:rsidRPr="00E71574">
        <w:rPr>
          <w:rFonts w:cs="Times New Roman"/>
          <w:color w:val="292526"/>
          <w:szCs w:val="24"/>
        </w:rPr>
        <w:t>401-418.</w:t>
      </w:r>
      <w:r w:rsidRPr="00673FE6">
        <w:rPr>
          <w:rFonts w:cs="Times New Roman"/>
          <w:color w:val="292526"/>
          <w:szCs w:val="24"/>
        </w:rPr>
        <w:t xml:space="preserve">  </w:t>
      </w:r>
    </w:p>
    <w:p w:rsidR="004C43AF" w:rsidRDefault="004C43AF" w:rsidP="009F78C5">
      <w:pPr>
        <w:tabs>
          <w:tab w:val="left" w:pos="284"/>
        </w:tabs>
        <w:spacing w:line="480" w:lineRule="auto"/>
        <w:ind w:firstLine="0"/>
        <w:rPr>
          <w:rFonts w:cs="Times New Roman"/>
        </w:rPr>
      </w:pPr>
      <w:r>
        <w:rPr>
          <w:rFonts w:cs="Times New Roman"/>
        </w:rPr>
        <w:t xml:space="preserve">Levy, Y. (2007). Comparing dropouts and persistence in e-learning courses. </w:t>
      </w:r>
      <w:r>
        <w:rPr>
          <w:rFonts w:cs="Times New Roman"/>
          <w:i/>
        </w:rPr>
        <w:t xml:space="preserve">Computers </w:t>
      </w:r>
      <w:r>
        <w:rPr>
          <w:rFonts w:cs="Times New Roman"/>
          <w:i/>
        </w:rPr>
        <w:tab/>
      </w:r>
      <w:r>
        <w:rPr>
          <w:rFonts w:cs="Times New Roman"/>
          <w:i/>
        </w:rPr>
        <w:tab/>
      </w:r>
      <w:r>
        <w:rPr>
          <w:rFonts w:cs="Times New Roman"/>
          <w:i/>
        </w:rPr>
        <w:tab/>
        <w:t xml:space="preserve">&amp; Education, 48, </w:t>
      </w:r>
      <w:r>
        <w:rPr>
          <w:rFonts w:cs="Times New Roman"/>
        </w:rPr>
        <w:t xml:space="preserve">185-204. </w:t>
      </w:r>
    </w:p>
    <w:p w:rsidR="004C43AF" w:rsidRDefault="004C43AF" w:rsidP="009F78C5">
      <w:pPr>
        <w:tabs>
          <w:tab w:val="left" w:pos="284"/>
        </w:tabs>
        <w:spacing w:line="480" w:lineRule="auto"/>
        <w:ind w:firstLine="0"/>
        <w:rPr>
          <w:rFonts w:cs="Times New Roman"/>
        </w:rPr>
      </w:pPr>
      <w:r w:rsidRPr="000325B3">
        <w:rPr>
          <w:rFonts w:cs="Times New Roman"/>
        </w:rPr>
        <w:lastRenderedPageBreak/>
        <w:t xml:space="preserve">Lloyd, S. A., Byrne, M. M., &amp; McCoy, T. S. (2012). Faculty-perceived barriers of online </w:t>
      </w:r>
      <w:r w:rsidRPr="000325B3">
        <w:rPr>
          <w:rFonts w:cs="Times New Roman"/>
        </w:rPr>
        <w:tab/>
      </w:r>
      <w:r>
        <w:rPr>
          <w:rFonts w:cs="Times New Roman"/>
        </w:rPr>
        <w:tab/>
        <w:t xml:space="preserve">education. </w:t>
      </w:r>
      <w:r w:rsidRPr="000325B3">
        <w:rPr>
          <w:rFonts w:cs="Times New Roman"/>
          <w:i/>
        </w:rPr>
        <w:t>MERLOT Journal of Online Learning and Teaching, 8</w:t>
      </w:r>
      <w:r w:rsidRPr="000325B3">
        <w:rPr>
          <w:rFonts w:cs="Times New Roman"/>
        </w:rPr>
        <w:t>(1), 1-12.</w:t>
      </w:r>
    </w:p>
    <w:p w:rsidR="004C43AF" w:rsidRDefault="004C43AF" w:rsidP="009F78C5">
      <w:pPr>
        <w:pStyle w:val="ListeParagraf"/>
        <w:spacing w:line="480" w:lineRule="auto"/>
        <w:ind w:left="0" w:firstLine="0"/>
      </w:pPr>
      <w:r w:rsidRPr="000325B3">
        <w:rPr>
          <w:rFonts w:cs="Times New Roman"/>
        </w:rPr>
        <w:t xml:space="preserve">Means, B., Toyama, Y., Murphy, R., </w:t>
      </w:r>
      <w:proofErr w:type="spellStart"/>
      <w:r w:rsidRPr="000325B3">
        <w:rPr>
          <w:rFonts w:cs="Times New Roman"/>
        </w:rPr>
        <w:t>Bakia</w:t>
      </w:r>
      <w:proofErr w:type="spellEnd"/>
      <w:r w:rsidRPr="000325B3">
        <w:rPr>
          <w:rFonts w:cs="Times New Roman"/>
        </w:rPr>
        <w:t xml:space="preserve">, M., &amp; Jones, K. (Revised, 2010). </w:t>
      </w:r>
      <w:r w:rsidRPr="000325B3">
        <w:rPr>
          <w:rFonts w:cs="Times New Roman"/>
          <w:i/>
        </w:rPr>
        <w:t xml:space="preserve">Evaluation </w:t>
      </w:r>
      <w:r>
        <w:rPr>
          <w:rFonts w:cs="Times New Roman"/>
          <w:i/>
        </w:rPr>
        <w:tab/>
      </w:r>
      <w:r w:rsidRPr="000325B3">
        <w:rPr>
          <w:rFonts w:cs="Times New Roman"/>
          <w:i/>
        </w:rPr>
        <w:t xml:space="preserve">of evidence-based practices in online learning: A meta-analysis and </w:t>
      </w:r>
      <w:r>
        <w:rPr>
          <w:rFonts w:cs="Times New Roman"/>
          <w:i/>
        </w:rPr>
        <w:tab/>
      </w:r>
      <w:r>
        <w:rPr>
          <w:rFonts w:cs="Times New Roman"/>
          <w:i/>
        </w:rPr>
        <w:tab/>
      </w:r>
      <w:r w:rsidRPr="000325B3">
        <w:rPr>
          <w:rFonts w:cs="Times New Roman"/>
          <w:i/>
        </w:rPr>
        <w:t xml:space="preserve">review </w:t>
      </w:r>
      <w:r>
        <w:rPr>
          <w:rFonts w:cs="Times New Roman"/>
          <w:i/>
        </w:rPr>
        <w:tab/>
        <w:t xml:space="preserve">of online learning </w:t>
      </w:r>
      <w:r w:rsidRPr="000325B3">
        <w:rPr>
          <w:rFonts w:cs="Times New Roman"/>
          <w:i/>
        </w:rPr>
        <w:t xml:space="preserve">studies. </w:t>
      </w:r>
      <w:r w:rsidRPr="000325B3">
        <w:rPr>
          <w:rFonts w:cs="Times New Roman"/>
        </w:rPr>
        <w:t xml:space="preserve">Washington, D.C.: U.S. </w:t>
      </w:r>
      <w:r>
        <w:rPr>
          <w:rFonts w:cs="Times New Roman"/>
        </w:rPr>
        <w:tab/>
      </w:r>
      <w:r w:rsidRPr="000325B3">
        <w:rPr>
          <w:rFonts w:cs="Times New Roman"/>
        </w:rPr>
        <w:t xml:space="preserve">Department of </w:t>
      </w:r>
      <w:r>
        <w:rPr>
          <w:rFonts w:cs="Times New Roman"/>
        </w:rPr>
        <w:tab/>
      </w:r>
      <w:r>
        <w:rPr>
          <w:rFonts w:cs="Times New Roman"/>
        </w:rPr>
        <w:tab/>
      </w:r>
      <w:r w:rsidRPr="000325B3">
        <w:rPr>
          <w:rFonts w:cs="Times New Roman"/>
        </w:rPr>
        <w:t xml:space="preserve">Education, Office of Planning, Evaluation, and Policy Development. </w:t>
      </w:r>
      <w:r>
        <w:rPr>
          <w:rFonts w:cs="Times New Roman"/>
        </w:rPr>
        <w:tab/>
      </w:r>
      <w:r>
        <w:rPr>
          <w:rFonts w:cs="Times New Roman"/>
        </w:rPr>
        <w:tab/>
      </w:r>
      <w:r>
        <w:rPr>
          <w:rFonts w:cs="Times New Roman"/>
        </w:rPr>
        <w:tab/>
      </w:r>
      <w:r w:rsidRPr="000325B3">
        <w:rPr>
          <w:rFonts w:cs="Times New Roman"/>
        </w:rPr>
        <w:t xml:space="preserve">Retrieved from </w:t>
      </w:r>
      <w:r w:rsidRPr="00127895">
        <w:rPr>
          <w:rFonts w:cs="Times New Roman"/>
        </w:rPr>
        <w:t>http://www2.ed.gov/rschstat/eval/tech/evidence-based-</w:t>
      </w:r>
      <w:r>
        <w:rPr>
          <w:rFonts w:cs="Times New Roman"/>
        </w:rPr>
        <w:tab/>
      </w:r>
      <w:r>
        <w:rPr>
          <w:rFonts w:cs="Times New Roman"/>
        </w:rPr>
        <w:tab/>
      </w:r>
      <w:r>
        <w:rPr>
          <w:rFonts w:cs="Times New Roman"/>
        </w:rPr>
        <w:tab/>
      </w:r>
      <w:r w:rsidRPr="000325B3">
        <w:rPr>
          <w:rFonts w:cs="Times New Roman"/>
        </w:rPr>
        <w:t>practices/finalreport.pdf</w:t>
      </w:r>
      <w:r>
        <w:tab/>
        <w:t xml:space="preserve"> </w:t>
      </w:r>
    </w:p>
    <w:p w:rsidR="004C43AF" w:rsidRPr="007F0570" w:rsidRDefault="004C43AF" w:rsidP="009F78C5">
      <w:pPr>
        <w:autoSpaceDE w:val="0"/>
        <w:autoSpaceDN w:val="0"/>
        <w:adjustRightInd w:val="0"/>
        <w:spacing w:line="480" w:lineRule="auto"/>
        <w:ind w:left="284" w:hanging="284"/>
        <w:rPr>
          <w:rFonts w:cs="Times New Roman"/>
          <w:color w:val="292526"/>
          <w:szCs w:val="24"/>
        </w:rPr>
      </w:pPr>
      <w:r w:rsidRPr="0038525A">
        <w:rPr>
          <w:rFonts w:cs="Times New Roman"/>
          <w:bCs/>
          <w:szCs w:val="24"/>
        </w:rPr>
        <w:t>Miller, George A.</w:t>
      </w:r>
      <w:r w:rsidRPr="0038525A">
        <w:rPr>
          <w:rFonts w:cs="Times New Roman"/>
          <w:szCs w:val="24"/>
        </w:rPr>
        <w:t xml:space="preserve"> (1956). </w:t>
      </w:r>
      <w:hyperlink r:id="rId9" w:history="1">
        <w:r w:rsidRPr="0038525A">
          <w:rPr>
            <w:rStyle w:val="Kpr"/>
            <w:rFonts w:cs="Times New Roman"/>
            <w:color w:val="auto"/>
            <w:szCs w:val="24"/>
            <w:u w:val="none"/>
          </w:rPr>
          <w:t xml:space="preserve">The magical number seven, plus or minus two: Some limits on </w:t>
        </w:r>
        <w:r>
          <w:rPr>
            <w:rStyle w:val="Kpr"/>
            <w:rFonts w:cs="Times New Roman"/>
            <w:color w:val="auto"/>
            <w:szCs w:val="24"/>
            <w:u w:val="none"/>
          </w:rPr>
          <w:tab/>
        </w:r>
        <w:r w:rsidRPr="0038525A">
          <w:rPr>
            <w:rStyle w:val="Kpr"/>
            <w:rFonts w:cs="Times New Roman"/>
            <w:color w:val="auto"/>
            <w:szCs w:val="24"/>
            <w:u w:val="none"/>
          </w:rPr>
          <w:t>our capacity for processing information</w:t>
        </w:r>
      </w:hyperlink>
      <w:r w:rsidRPr="0038525A">
        <w:rPr>
          <w:rFonts w:cs="Times New Roman"/>
          <w:szCs w:val="24"/>
        </w:rPr>
        <w:t>.</w:t>
      </w:r>
      <w:r w:rsidRPr="0038525A">
        <w:rPr>
          <w:rFonts w:cs="Times New Roman"/>
          <w:i/>
          <w:iCs/>
          <w:szCs w:val="24"/>
        </w:rPr>
        <w:t xml:space="preserve"> Psychological Review</w:t>
      </w:r>
      <w:r w:rsidRPr="0038525A">
        <w:rPr>
          <w:rFonts w:cs="Times New Roman"/>
          <w:szCs w:val="24"/>
        </w:rPr>
        <w:t xml:space="preserve">, </w:t>
      </w:r>
      <w:r w:rsidRPr="0038525A">
        <w:rPr>
          <w:rFonts w:cs="Times New Roman"/>
          <w:i/>
          <w:iCs/>
          <w:szCs w:val="24"/>
        </w:rPr>
        <w:t>63</w:t>
      </w:r>
      <w:r w:rsidRPr="0038525A">
        <w:rPr>
          <w:rFonts w:cs="Times New Roman"/>
          <w:szCs w:val="24"/>
        </w:rPr>
        <w:t xml:space="preserve">, 81-97. </w:t>
      </w:r>
      <w:r>
        <w:rPr>
          <w:rFonts w:cs="Times New Roman"/>
          <w:szCs w:val="24"/>
        </w:rPr>
        <w:tab/>
      </w:r>
      <w:r w:rsidRPr="0038525A">
        <w:rPr>
          <w:rFonts w:cs="Times New Roman"/>
          <w:szCs w:val="24"/>
        </w:rPr>
        <w:t>Retrieved from http://psychclassics.yorku.ca/Miller/</w:t>
      </w:r>
    </w:p>
    <w:p w:rsidR="004C43AF" w:rsidRDefault="004C43AF" w:rsidP="009F78C5">
      <w:pPr>
        <w:tabs>
          <w:tab w:val="left" w:pos="284"/>
        </w:tabs>
        <w:spacing w:line="480" w:lineRule="auto"/>
        <w:ind w:firstLine="0"/>
      </w:pPr>
      <w:proofErr w:type="spellStart"/>
      <w:r w:rsidRPr="00587BCF">
        <w:t>Müller</w:t>
      </w:r>
      <w:proofErr w:type="spellEnd"/>
      <w:r w:rsidRPr="00587BCF">
        <w:t>, T. (2008). Persistence of</w:t>
      </w:r>
      <w:r>
        <w:t xml:space="preserve"> women in online degree completion programs. </w:t>
      </w:r>
      <w:r>
        <w:tab/>
      </w:r>
      <w:r>
        <w:tab/>
      </w:r>
      <w:r>
        <w:tab/>
      </w:r>
      <w:r>
        <w:tab/>
      </w:r>
      <w:r>
        <w:rPr>
          <w:i/>
        </w:rPr>
        <w:t>International Review of Research in Open  and Distance Learning, 9</w:t>
      </w:r>
      <w:r>
        <w:t xml:space="preserve">(2), </w:t>
      </w:r>
      <w:r>
        <w:tab/>
      </w:r>
      <w:r>
        <w:tab/>
      </w:r>
      <w:r>
        <w:tab/>
      </w:r>
      <w:r>
        <w:tab/>
        <w:t>1-18.</w:t>
      </w:r>
    </w:p>
    <w:p w:rsidR="004C43AF" w:rsidRPr="009A202B" w:rsidRDefault="004C43AF" w:rsidP="009F78C5">
      <w:pPr>
        <w:tabs>
          <w:tab w:val="left" w:pos="284"/>
        </w:tabs>
        <w:spacing w:line="480" w:lineRule="auto"/>
        <w:ind w:firstLine="0"/>
      </w:pPr>
      <w:proofErr w:type="spellStart"/>
      <w:r>
        <w:t>Ojokheta</w:t>
      </w:r>
      <w:proofErr w:type="spellEnd"/>
      <w:r>
        <w:t xml:space="preserve">, K. O. (2010). A path-analytic study of some correlates predicting persistence </w:t>
      </w:r>
      <w:r>
        <w:tab/>
      </w:r>
      <w:r>
        <w:tab/>
      </w:r>
      <w:r>
        <w:tab/>
        <w:t xml:space="preserve">and students` success in distance education in Nigeria. </w:t>
      </w:r>
      <w:r>
        <w:rPr>
          <w:i/>
        </w:rPr>
        <w:t xml:space="preserve">Turkish Online </w:t>
      </w:r>
      <w:r>
        <w:rPr>
          <w:i/>
        </w:rPr>
        <w:tab/>
      </w:r>
      <w:r>
        <w:rPr>
          <w:i/>
        </w:rPr>
        <w:tab/>
      </w:r>
      <w:r>
        <w:rPr>
          <w:i/>
        </w:rPr>
        <w:tab/>
      </w:r>
      <w:r>
        <w:rPr>
          <w:i/>
        </w:rPr>
        <w:tab/>
        <w:t>Journal of Distance Education, 11</w:t>
      </w:r>
      <w:r>
        <w:t>(1), 181-192.</w:t>
      </w:r>
      <w:r>
        <w:rPr>
          <w:i/>
        </w:rPr>
        <w:t xml:space="preserve"> </w:t>
      </w:r>
      <w:r>
        <w:t xml:space="preserve"> </w:t>
      </w:r>
    </w:p>
    <w:p w:rsidR="004C43AF" w:rsidRPr="00391BBA" w:rsidRDefault="004C43AF" w:rsidP="009F78C5">
      <w:pPr>
        <w:spacing w:line="480" w:lineRule="auto"/>
        <w:ind w:left="737" w:hanging="737"/>
      </w:pPr>
      <w:proofErr w:type="spellStart"/>
      <w:r>
        <w:rPr>
          <w:szCs w:val="24"/>
        </w:rPr>
        <w:t>Paechter</w:t>
      </w:r>
      <w:proofErr w:type="spellEnd"/>
      <w:r>
        <w:rPr>
          <w:szCs w:val="24"/>
        </w:rPr>
        <w:t xml:space="preserve">, M., Maier, B., &amp; </w:t>
      </w:r>
      <w:proofErr w:type="spellStart"/>
      <w:r>
        <w:rPr>
          <w:szCs w:val="24"/>
        </w:rPr>
        <w:t>Macher</w:t>
      </w:r>
      <w:proofErr w:type="spellEnd"/>
      <w:r>
        <w:rPr>
          <w:szCs w:val="24"/>
        </w:rPr>
        <w:t>, D. (2010).</w:t>
      </w:r>
      <w:r>
        <w:t xml:space="preserve">Students` expectations of, and experiences in e-learning: Their relation to learning achievements and course satisfaction. </w:t>
      </w:r>
      <w:r>
        <w:rPr>
          <w:i/>
        </w:rPr>
        <w:t xml:space="preserve">Computers &amp; Education, 54, </w:t>
      </w:r>
      <w:r>
        <w:t xml:space="preserve">222-229. </w:t>
      </w:r>
    </w:p>
    <w:p w:rsidR="004C43AF" w:rsidRPr="00092EDD" w:rsidRDefault="004C43AF" w:rsidP="009F78C5">
      <w:pPr>
        <w:spacing w:line="480" w:lineRule="auto"/>
        <w:ind w:left="737" w:hanging="737"/>
        <w:rPr>
          <w:color w:val="292526"/>
          <w:szCs w:val="24"/>
        </w:rPr>
      </w:pPr>
      <w:r w:rsidRPr="00563C54">
        <w:rPr>
          <w:szCs w:val="24"/>
        </w:rPr>
        <w:t xml:space="preserve">Paas, F., </w:t>
      </w:r>
      <w:proofErr w:type="spellStart"/>
      <w:r w:rsidRPr="00563C54">
        <w:rPr>
          <w:szCs w:val="24"/>
        </w:rPr>
        <w:t>Tuovinen</w:t>
      </w:r>
      <w:proofErr w:type="spellEnd"/>
      <w:r w:rsidRPr="00563C54">
        <w:rPr>
          <w:szCs w:val="24"/>
        </w:rPr>
        <w:t xml:space="preserve">, J. E., </w:t>
      </w:r>
      <w:proofErr w:type="spellStart"/>
      <w:r w:rsidRPr="00563C54">
        <w:rPr>
          <w:szCs w:val="24"/>
        </w:rPr>
        <w:t>Tabbers</w:t>
      </w:r>
      <w:proofErr w:type="spellEnd"/>
      <w:r w:rsidRPr="00563C54">
        <w:rPr>
          <w:szCs w:val="24"/>
        </w:rPr>
        <w:t xml:space="preserve">, H., &amp;Van </w:t>
      </w:r>
      <w:proofErr w:type="spellStart"/>
      <w:r w:rsidRPr="00563C54">
        <w:rPr>
          <w:szCs w:val="24"/>
        </w:rPr>
        <w:t>Gerven</w:t>
      </w:r>
      <w:proofErr w:type="spellEnd"/>
      <w:r w:rsidRPr="00563C54">
        <w:rPr>
          <w:szCs w:val="24"/>
        </w:rPr>
        <w:t xml:space="preserve">, P. W. M. (2003). Cognitive load measurement as a means to advance cognitive load theory. </w:t>
      </w:r>
      <w:r w:rsidRPr="00563C54">
        <w:rPr>
          <w:i/>
          <w:szCs w:val="24"/>
        </w:rPr>
        <w:t>Educational Psychologist, 38</w:t>
      </w:r>
      <w:r w:rsidRPr="00563C54">
        <w:rPr>
          <w:szCs w:val="24"/>
        </w:rPr>
        <w:t xml:space="preserve">(1), 63-71. </w:t>
      </w:r>
    </w:p>
    <w:p w:rsidR="004C43AF" w:rsidRDefault="004C43AF" w:rsidP="009F78C5">
      <w:pPr>
        <w:tabs>
          <w:tab w:val="left" w:pos="284"/>
        </w:tabs>
        <w:spacing w:line="480" w:lineRule="auto"/>
        <w:ind w:firstLine="0"/>
      </w:pPr>
      <w:r>
        <w:lastRenderedPageBreak/>
        <w:t xml:space="preserve">Park, J.-H., &amp; </w:t>
      </w:r>
      <w:proofErr w:type="spellStart"/>
      <w:r>
        <w:t>Choi</w:t>
      </w:r>
      <w:proofErr w:type="spellEnd"/>
      <w:r>
        <w:t xml:space="preserve">, H. J. (2009). Factors influencing adult learners` decision to drop out </w:t>
      </w:r>
      <w:r>
        <w:tab/>
      </w:r>
      <w:r>
        <w:tab/>
        <w:t xml:space="preserve">or persist in online learning. </w:t>
      </w:r>
      <w:r>
        <w:rPr>
          <w:i/>
        </w:rPr>
        <w:t>Educational Technology &amp; Society, 12</w:t>
      </w:r>
      <w:r>
        <w:t xml:space="preserve">(4), 207-217. </w:t>
      </w:r>
    </w:p>
    <w:p w:rsidR="004C43AF" w:rsidRPr="00194F62" w:rsidRDefault="004C43AF" w:rsidP="009F78C5">
      <w:pPr>
        <w:tabs>
          <w:tab w:val="left" w:pos="284"/>
        </w:tabs>
        <w:spacing w:line="480" w:lineRule="auto"/>
        <w:ind w:firstLine="0"/>
      </w:pPr>
      <w:r w:rsidRPr="00587BCF">
        <w:t xml:space="preserve">Parker, A. (2003). Identifying predictors of academic persistence in distance education. </w:t>
      </w:r>
      <w:r w:rsidRPr="00587BCF">
        <w:tab/>
      </w:r>
      <w:r w:rsidRPr="00587BCF">
        <w:tab/>
      </w:r>
      <w:r w:rsidRPr="00587BCF">
        <w:tab/>
      </w:r>
      <w:r w:rsidRPr="00587BCF">
        <w:rPr>
          <w:i/>
        </w:rPr>
        <w:t>USDLA Journal, 17</w:t>
      </w:r>
      <w:r w:rsidRPr="00587BCF">
        <w:t>(1), 55-62.</w:t>
      </w:r>
    </w:p>
    <w:p w:rsidR="004C43AF" w:rsidRPr="00DC4959" w:rsidRDefault="004C43AF" w:rsidP="009F78C5">
      <w:pPr>
        <w:spacing w:line="480" w:lineRule="auto"/>
        <w:ind w:firstLine="0"/>
        <w:rPr>
          <w:rFonts w:cs="Times New Roman"/>
          <w:szCs w:val="24"/>
        </w:rPr>
      </w:pPr>
      <w:r>
        <w:rPr>
          <w:szCs w:val="24"/>
        </w:rPr>
        <w:t xml:space="preserve">Redmond, P. (2011). </w:t>
      </w:r>
      <w:r>
        <w:rPr>
          <w:i/>
        </w:rPr>
        <w:t xml:space="preserve">Exploring teaching and cognitive presence in blended learning: </w:t>
      </w:r>
      <w:r>
        <w:rPr>
          <w:i/>
        </w:rPr>
        <w:tab/>
        <w:t xml:space="preserve">promoting pre-service </w:t>
      </w:r>
      <w:proofErr w:type="spellStart"/>
      <w:r>
        <w:rPr>
          <w:i/>
        </w:rPr>
        <w:t>teachers`critical</w:t>
      </w:r>
      <w:proofErr w:type="spellEnd"/>
      <w:r>
        <w:rPr>
          <w:i/>
        </w:rPr>
        <w:t xml:space="preserve"> thinking. </w:t>
      </w:r>
      <w:r>
        <w:rPr>
          <w:rFonts w:cs="Times New Roman"/>
          <w:szCs w:val="24"/>
        </w:rPr>
        <w:t xml:space="preserve">Unpublished doctoral </w:t>
      </w:r>
      <w:r>
        <w:rPr>
          <w:rFonts w:cs="Times New Roman"/>
          <w:szCs w:val="24"/>
        </w:rPr>
        <w:tab/>
        <w:t xml:space="preserve">dissertation, University of Southern Queensland, Australia.  Retrieved from </w:t>
      </w:r>
      <w:r>
        <w:rPr>
          <w:rFonts w:cs="Times New Roman"/>
          <w:szCs w:val="24"/>
        </w:rPr>
        <w:tab/>
      </w:r>
      <w:r w:rsidRPr="00EE1454">
        <w:rPr>
          <w:rFonts w:cs="Times New Roman"/>
          <w:szCs w:val="24"/>
        </w:rPr>
        <w:t>http://eprints.usq.edu</w:t>
      </w:r>
      <w:r>
        <w:rPr>
          <w:rFonts w:cs="Times New Roman"/>
          <w:szCs w:val="24"/>
        </w:rPr>
        <w:tab/>
      </w:r>
      <w:r w:rsidRPr="00EE1454">
        <w:rPr>
          <w:rFonts w:cs="Times New Roman"/>
          <w:szCs w:val="24"/>
        </w:rPr>
        <w:t>.au/19583/1/Redmond_2011_front.pdf</w:t>
      </w:r>
    </w:p>
    <w:p w:rsidR="004C43AF" w:rsidRPr="00BC2822" w:rsidRDefault="004C43AF" w:rsidP="009F78C5">
      <w:pPr>
        <w:tabs>
          <w:tab w:val="left" w:pos="284"/>
        </w:tabs>
        <w:spacing w:line="480" w:lineRule="auto"/>
        <w:ind w:firstLine="0"/>
      </w:pPr>
      <w:r>
        <w:t xml:space="preserve">Richardson, J. C., &amp; Swan, K. (2003). Examining social presence in online courses in </w:t>
      </w:r>
      <w:r>
        <w:tab/>
      </w:r>
      <w:r>
        <w:tab/>
      </w:r>
      <w:r>
        <w:tab/>
        <w:t xml:space="preserve">relation to students` perceived learning and satisfaction. </w:t>
      </w:r>
      <w:r>
        <w:rPr>
          <w:i/>
        </w:rPr>
        <w:t xml:space="preserve">Journal of Asynchronous </w:t>
      </w:r>
      <w:r>
        <w:rPr>
          <w:i/>
        </w:rPr>
        <w:tab/>
      </w:r>
      <w:r>
        <w:rPr>
          <w:i/>
        </w:rPr>
        <w:tab/>
        <w:t>Learning Networks, 7</w:t>
      </w:r>
      <w:r>
        <w:t>(1), 68-88.</w:t>
      </w:r>
    </w:p>
    <w:p w:rsidR="004C43AF" w:rsidRPr="00887972" w:rsidRDefault="004C43AF" w:rsidP="009F78C5">
      <w:pPr>
        <w:spacing w:line="480" w:lineRule="auto"/>
        <w:ind w:left="737" w:hanging="737"/>
        <w:rPr>
          <w:szCs w:val="24"/>
        </w:rPr>
      </w:pPr>
      <w:r>
        <w:rPr>
          <w:szCs w:val="24"/>
        </w:rPr>
        <w:t xml:space="preserve">Rovai, A. P. (2002). Sense of community, perceived cognitive learning, and persistence in asynchronous learning networks. </w:t>
      </w:r>
      <w:r>
        <w:rPr>
          <w:i/>
          <w:szCs w:val="24"/>
        </w:rPr>
        <w:t>Internet and Higher Education, 5</w:t>
      </w:r>
      <w:r>
        <w:rPr>
          <w:szCs w:val="24"/>
        </w:rPr>
        <w:t>, 319-332.</w:t>
      </w:r>
    </w:p>
    <w:p w:rsidR="004C43AF" w:rsidRPr="00C80BA3" w:rsidRDefault="004C43AF" w:rsidP="009F78C5">
      <w:pPr>
        <w:spacing w:line="480" w:lineRule="auto"/>
        <w:ind w:firstLine="0"/>
        <w:rPr>
          <w:rFonts w:eastAsia="Times New Roman" w:cs="Times New Roman"/>
          <w:color w:val="auto"/>
          <w:szCs w:val="24"/>
        </w:rPr>
      </w:pPr>
      <w:r>
        <w:rPr>
          <w:rFonts w:eastAsia="Times New Roman" w:cs="Times New Roman"/>
          <w:color w:val="auto"/>
          <w:szCs w:val="24"/>
        </w:rPr>
        <w:t xml:space="preserve">Shea, P., &amp; Bidjerano, T. (2009a). Cognitive presence and online learner engagement: A </w:t>
      </w:r>
      <w:r>
        <w:rPr>
          <w:rFonts w:eastAsia="Times New Roman" w:cs="Times New Roman"/>
          <w:color w:val="auto"/>
          <w:szCs w:val="24"/>
        </w:rPr>
        <w:tab/>
        <w:t xml:space="preserve">cluster analysis of the community of inquiry framework. </w:t>
      </w:r>
      <w:r>
        <w:rPr>
          <w:rFonts w:eastAsia="Times New Roman" w:cs="Times New Roman"/>
          <w:i/>
          <w:color w:val="auto"/>
          <w:szCs w:val="24"/>
        </w:rPr>
        <w:t xml:space="preserve">Journal of Computing in </w:t>
      </w:r>
      <w:r>
        <w:rPr>
          <w:rFonts w:eastAsia="Times New Roman" w:cs="Times New Roman"/>
          <w:i/>
          <w:color w:val="auto"/>
          <w:szCs w:val="24"/>
        </w:rPr>
        <w:tab/>
        <w:t xml:space="preserve">Higher Education, 21, </w:t>
      </w:r>
      <w:r>
        <w:rPr>
          <w:rFonts w:eastAsia="Times New Roman" w:cs="Times New Roman"/>
          <w:color w:val="auto"/>
          <w:szCs w:val="24"/>
        </w:rPr>
        <w:t xml:space="preserve">199-217.   </w:t>
      </w:r>
    </w:p>
    <w:p w:rsidR="004C43AF" w:rsidRDefault="004C43AF" w:rsidP="009F78C5">
      <w:pPr>
        <w:spacing w:line="480" w:lineRule="auto"/>
        <w:ind w:left="737" w:hanging="737"/>
        <w:rPr>
          <w:szCs w:val="24"/>
        </w:rPr>
      </w:pPr>
      <w:r w:rsidRPr="006A6C08">
        <w:rPr>
          <w:szCs w:val="24"/>
        </w:rPr>
        <w:t>Shea, P., &amp; Bidjerano, T. (2009</w:t>
      </w:r>
      <w:r>
        <w:rPr>
          <w:szCs w:val="24"/>
        </w:rPr>
        <w:t>b</w:t>
      </w:r>
      <w:r w:rsidRPr="006A6C08">
        <w:rPr>
          <w:szCs w:val="24"/>
        </w:rPr>
        <w:t xml:space="preserve">). Community of inquiry as a theoretical framework to foster “ epistemic engagement” and “cognitive presence” in online education. </w:t>
      </w:r>
      <w:r w:rsidRPr="006A6C08">
        <w:rPr>
          <w:i/>
          <w:szCs w:val="24"/>
        </w:rPr>
        <w:t>Computers and Education, 52</w:t>
      </w:r>
      <w:r w:rsidRPr="006A6C08">
        <w:rPr>
          <w:szCs w:val="24"/>
        </w:rPr>
        <w:t>(3), 543-553.</w:t>
      </w:r>
    </w:p>
    <w:p w:rsidR="004C43AF" w:rsidRDefault="004C43AF" w:rsidP="009F78C5">
      <w:pPr>
        <w:spacing w:line="480" w:lineRule="auto"/>
        <w:ind w:left="737" w:hanging="737"/>
        <w:rPr>
          <w:szCs w:val="24"/>
        </w:rPr>
      </w:pPr>
      <w:r w:rsidRPr="006A6C08">
        <w:rPr>
          <w:szCs w:val="24"/>
        </w:rPr>
        <w:t xml:space="preserve">Swan, K., &amp; Ice, P. (2010). The community of inquiry framework ten years later: Introduction to the special issue. </w:t>
      </w:r>
      <w:r w:rsidRPr="006A6C08">
        <w:rPr>
          <w:i/>
          <w:szCs w:val="24"/>
        </w:rPr>
        <w:t>Internet and Higher Education, 13</w:t>
      </w:r>
      <w:r w:rsidRPr="006A6C08">
        <w:rPr>
          <w:szCs w:val="24"/>
        </w:rPr>
        <w:t>(1-2), 1-4.</w:t>
      </w:r>
    </w:p>
    <w:p w:rsidR="004C43AF" w:rsidRDefault="004C43AF" w:rsidP="009F78C5">
      <w:pPr>
        <w:spacing w:line="480" w:lineRule="auto"/>
        <w:ind w:left="737" w:hanging="737"/>
        <w:rPr>
          <w:szCs w:val="24"/>
        </w:rPr>
      </w:pPr>
      <w:r w:rsidRPr="006A6C08">
        <w:rPr>
          <w:szCs w:val="24"/>
        </w:rPr>
        <w:lastRenderedPageBreak/>
        <w:t xml:space="preserve">Swan, K., Richardson, J.C., Ice, P., Garrison, D.R., Cleveland-Innes, M., &amp; Arbaugh, J.B. (2008). Validating a measurement tool of presence in online communities of inquiry. </w:t>
      </w:r>
      <w:r w:rsidRPr="006A6C08">
        <w:rPr>
          <w:i/>
          <w:szCs w:val="24"/>
        </w:rPr>
        <w:t>E-mentor, 2</w:t>
      </w:r>
      <w:r w:rsidRPr="006A6C08">
        <w:rPr>
          <w:szCs w:val="24"/>
        </w:rPr>
        <w:t xml:space="preserve">(24), 1-12. </w:t>
      </w:r>
    </w:p>
    <w:p w:rsidR="004C43AF" w:rsidRPr="006A6C08" w:rsidRDefault="004C43AF" w:rsidP="009F78C5">
      <w:pPr>
        <w:spacing w:line="480" w:lineRule="auto"/>
        <w:ind w:left="737" w:hanging="737"/>
        <w:rPr>
          <w:color w:val="292526"/>
          <w:szCs w:val="24"/>
        </w:rPr>
      </w:pPr>
      <w:r w:rsidRPr="006A6C08">
        <w:rPr>
          <w:szCs w:val="24"/>
        </w:rPr>
        <w:t xml:space="preserve">Sweller, J. (1988). Cognitive load during problem solving: Effects on learning. </w:t>
      </w:r>
      <w:r w:rsidRPr="006A6C08">
        <w:rPr>
          <w:i/>
          <w:szCs w:val="24"/>
        </w:rPr>
        <w:t xml:space="preserve">Cognitive Science, 12, </w:t>
      </w:r>
      <w:r w:rsidRPr="006A6C08">
        <w:rPr>
          <w:szCs w:val="24"/>
        </w:rPr>
        <w:t>257-285.</w:t>
      </w:r>
    </w:p>
    <w:p w:rsidR="004C43AF" w:rsidRPr="006A6C08" w:rsidRDefault="004C43AF" w:rsidP="009F78C5">
      <w:pPr>
        <w:spacing w:line="480" w:lineRule="auto"/>
        <w:ind w:left="737" w:hanging="737"/>
        <w:rPr>
          <w:color w:val="292526"/>
          <w:szCs w:val="24"/>
        </w:rPr>
      </w:pPr>
      <w:r w:rsidRPr="006A6C08">
        <w:rPr>
          <w:szCs w:val="24"/>
        </w:rPr>
        <w:t xml:space="preserve">Sweller, J. (1994). Cognitive load theory, learning difficulty and instructional design. </w:t>
      </w:r>
      <w:r w:rsidRPr="006A6C08">
        <w:rPr>
          <w:i/>
          <w:szCs w:val="24"/>
        </w:rPr>
        <w:t xml:space="preserve">Learning and Instruction, 4, </w:t>
      </w:r>
      <w:r w:rsidRPr="006A6C08">
        <w:rPr>
          <w:szCs w:val="24"/>
        </w:rPr>
        <w:t>295-312.</w:t>
      </w:r>
    </w:p>
    <w:p w:rsidR="004C43AF" w:rsidRDefault="004C43AF" w:rsidP="009F78C5">
      <w:pPr>
        <w:spacing w:line="480" w:lineRule="auto"/>
        <w:ind w:left="737" w:hanging="737"/>
        <w:rPr>
          <w:szCs w:val="24"/>
        </w:rPr>
      </w:pPr>
      <w:r w:rsidRPr="006A6C08">
        <w:rPr>
          <w:szCs w:val="24"/>
        </w:rPr>
        <w:t xml:space="preserve">Sweller, J. (2005). Implications of cognitive load theory for multimedia learning. In R. E. Mayer (Ed.), </w:t>
      </w:r>
      <w:r w:rsidRPr="006A6C08">
        <w:rPr>
          <w:i/>
          <w:szCs w:val="24"/>
        </w:rPr>
        <w:t xml:space="preserve">The Cambridge handbook of multimedia learning </w:t>
      </w:r>
      <w:r w:rsidRPr="006A6C08">
        <w:rPr>
          <w:szCs w:val="24"/>
        </w:rPr>
        <w:t>(pp. 19-30). New York: Cambridge University Press.</w:t>
      </w:r>
    </w:p>
    <w:p w:rsidR="004C43AF" w:rsidRDefault="004C43AF" w:rsidP="009F78C5">
      <w:pPr>
        <w:spacing w:line="480" w:lineRule="auto"/>
        <w:ind w:left="737" w:hanging="737"/>
        <w:rPr>
          <w:szCs w:val="24"/>
        </w:rPr>
      </w:pPr>
      <w:r>
        <w:rPr>
          <w:szCs w:val="24"/>
        </w:rPr>
        <w:t>Sweller, J. (2010). Element interactivity and intrinsic, extraneous and germane cognitive</w:t>
      </w:r>
    </w:p>
    <w:p w:rsidR="004C43AF" w:rsidRDefault="004C43AF" w:rsidP="009F78C5">
      <w:pPr>
        <w:spacing w:line="480" w:lineRule="auto"/>
        <w:ind w:left="737" w:hanging="737"/>
        <w:rPr>
          <w:szCs w:val="24"/>
        </w:rPr>
      </w:pPr>
      <w:r>
        <w:rPr>
          <w:szCs w:val="24"/>
        </w:rPr>
        <w:t xml:space="preserve">     </w:t>
      </w:r>
      <w:r>
        <w:rPr>
          <w:szCs w:val="24"/>
        </w:rPr>
        <w:tab/>
        <w:t xml:space="preserve">load. </w:t>
      </w:r>
      <w:r>
        <w:rPr>
          <w:i/>
          <w:szCs w:val="24"/>
        </w:rPr>
        <w:t xml:space="preserve">Educational Psychology Review, 22, </w:t>
      </w:r>
      <w:r>
        <w:rPr>
          <w:szCs w:val="24"/>
        </w:rPr>
        <w:t xml:space="preserve">123-138. </w:t>
      </w:r>
    </w:p>
    <w:p w:rsidR="004C43AF" w:rsidRPr="006A6C08" w:rsidRDefault="004C43AF" w:rsidP="009F78C5">
      <w:pPr>
        <w:spacing w:line="480" w:lineRule="auto"/>
        <w:ind w:left="737" w:hanging="737"/>
        <w:rPr>
          <w:color w:val="292526"/>
          <w:szCs w:val="24"/>
        </w:rPr>
      </w:pPr>
      <w:r w:rsidRPr="006A6C08">
        <w:rPr>
          <w:szCs w:val="24"/>
        </w:rPr>
        <w:t xml:space="preserve">Sweller, J., Ayres, P., &amp; Kalyuga, S. (2011). </w:t>
      </w:r>
      <w:r w:rsidRPr="006A6C08">
        <w:rPr>
          <w:i/>
          <w:szCs w:val="24"/>
        </w:rPr>
        <w:t xml:space="preserve">Cognitive load theory. </w:t>
      </w:r>
      <w:r w:rsidRPr="006A6C08">
        <w:rPr>
          <w:szCs w:val="24"/>
        </w:rPr>
        <w:t>New York: Springer.</w:t>
      </w:r>
    </w:p>
    <w:p w:rsidR="004C43AF" w:rsidRDefault="004C43AF" w:rsidP="009F78C5">
      <w:pPr>
        <w:spacing w:line="480" w:lineRule="auto"/>
        <w:ind w:left="737" w:hanging="737"/>
        <w:rPr>
          <w:szCs w:val="24"/>
        </w:rPr>
      </w:pPr>
      <w:r w:rsidRPr="006A6C08">
        <w:rPr>
          <w:szCs w:val="24"/>
        </w:rPr>
        <w:t xml:space="preserve">Sweller, J., van Merriënboer, J. J. G., &amp; Paas, F. (1998). Cognitive architecture and instructional design. </w:t>
      </w:r>
      <w:r w:rsidRPr="006A6C08">
        <w:rPr>
          <w:i/>
          <w:szCs w:val="24"/>
        </w:rPr>
        <w:t>Educational Psychology Review, 10</w:t>
      </w:r>
      <w:r w:rsidRPr="006A6C08">
        <w:rPr>
          <w:szCs w:val="24"/>
        </w:rPr>
        <w:t xml:space="preserve">(3), 251-296. </w:t>
      </w:r>
    </w:p>
    <w:p w:rsidR="004C43AF" w:rsidRDefault="004C43AF" w:rsidP="009F78C5">
      <w:pPr>
        <w:spacing w:line="480" w:lineRule="auto"/>
        <w:ind w:left="737" w:hanging="737"/>
      </w:pPr>
      <w:r>
        <w:rPr>
          <w:szCs w:val="24"/>
        </w:rPr>
        <w:t>van Gog, T., &amp; Paas, F. (2008).</w:t>
      </w:r>
      <w:r>
        <w:t xml:space="preserve"> Instructional efficiency: Revisiting the original construct in educational research. </w:t>
      </w:r>
      <w:r>
        <w:rPr>
          <w:i/>
        </w:rPr>
        <w:t>Educational Psychologist, 43</w:t>
      </w:r>
      <w:r>
        <w:t>(1), 16-26.</w:t>
      </w:r>
    </w:p>
    <w:p w:rsidR="004C43AF" w:rsidRDefault="004C43AF" w:rsidP="009F78C5">
      <w:pPr>
        <w:tabs>
          <w:tab w:val="left" w:pos="284"/>
        </w:tabs>
        <w:spacing w:line="480" w:lineRule="auto"/>
        <w:ind w:firstLine="0"/>
        <w:rPr>
          <w:rFonts w:cs="Times New Roman"/>
        </w:rPr>
      </w:pPr>
      <w:r w:rsidRPr="00587BCF">
        <w:t xml:space="preserve">Wilson, M. (2008). An investigation into the perceptions of first-time online </w:t>
      </w:r>
      <w:r>
        <w:tab/>
      </w:r>
      <w:r>
        <w:tab/>
      </w:r>
      <w:r>
        <w:tab/>
      </w:r>
      <w:r>
        <w:tab/>
        <w:t xml:space="preserve">undergraduate </w:t>
      </w:r>
      <w:r w:rsidRPr="00587BCF">
        <w:t xml:space="preserve">learners on orientation events. </w:t>
      </w:r>
      <w:r w:rsidRPr="00587BCF">
        <w:rPr>
          <w:i/>
        </w:rPr>
        <w:t xml:space="preserve">MERLOT Journal of </w:t>
      </w:r>
      <w:r>
        <w:rPr>
          <w:i/>
        </w:rPr>
        <w:tab/>
      </w:r>
      <w:r>
        <w:rPr>
          <w:i/>
        </w:rPr>
        <w:tab/>
      </w:r>
      <w:r>
        <w:rPr>
          <w:i/>
        </w:rPr>
        <w:tab/>
      </w:r>
      <w:r>
        <w:rPr>
          <w:i/>
        </w:rPr>
        <w:tab/>
        <w:t xml:space="preserve">Online Learning and Teaching, </w:t>
      </w:r>
      <w:r w:rsidRPr="00587BCF">
        <w:rPr>
          <w:i/>
        </w:rPr>
        <w:t>4</w:t>
      </w:r>
      <w:r w:rsidRPr="00587BCF">
        <w:t>(1), 73-83.</w:t>
      </w:r>
    </w:p>
    <w:sectPr w:rsidR="004C43AF" w:rsidSect="00D5077C">
      <w:headerReference w:type="default" r:id="rId10"/>
      <w:pgSz w:w="12240" w:h="15840" w:code="1"/>
      <w:pgMar w:top="1440" w:right="1440" w:bottom="1797"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02" w:rsidRDefault="00835602" w:rsidP="0007706E">
      <w:r>
        <w:separator/>
      </w:r>
    </w:p>
  </w:endnote>
  <w:endnote w:type="continuationSeparator" w:id="0">
    <w:p w:rsidR="00835602" w:rsidRDefault="00835602" w:rsidP="00077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02" w:rsidRDefault="00835602" w:rsidP="0007706E">
      <w:r>
        <w:separator/>
      </w:r>
    </w:p>
  </w:footnote>
  <w:footnote w:type="continuationSeparator" w:id="0">
    <w:p w:rsidR="00835602" w:rsidRDefault="00835602" w:rsidP="0007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5758"/>
      <w:docPartObj>
        <w:docPartGallery w:val="Page Numbers (Top of Page)"/>
        <w:docPartUnique/>
      </w:docPartObj>
    </w:sdtPr>
    <w:sdtContent>
      <w:p w:rsidR="00BE35F6" w:rsidRDefault="006848B2">
        <w:pPr>
          <w:pStyle w:val="stbilgi"/>
          <w:jc w:val="right"/>
        </w:pPr>
        <w:fldSimple w:instr=" PAGE   \* MERGEFORMAT ">
          <w:r w:rsidR="009F78C5">
            <w:rPr>
              <w:noProof/>
            </w:rPr>
            <w:t>1</w:t>
          </w:r>
        </w:fldSimple>
      </w:p>
    </w:sdtContent>
  </w:sdt>
  <w:p w:rsidR="00BE35F6" w:rsidRDefault="00BE35F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2387"/>
      <w:docPartObj>
        <w:docPartGallery w:val="Page Numbers (Top of Page)"/>
        <w:docPartUnique/>
      </w:docPartObj>
    </w:sdtPr>
    <w:sdtContent>
      <w:p w:rsidR="00BE35F6" w:rsidRDefault="006848B2">
        <w:pPr>
          <w:pStyle w:val="stbilgi"/>
          <w:jc w:val="right"/>
        </w:pPr>
        <w:fldSimple w:instr=" PAGE   \* MERGEFORMAT ">
          <w:r w:rsidR="009F78C5">
            <w:rPr>
              <w:noProof/>
            </w:rPr>
            <w:t>10</w:t>
          </w:r>
        </w:fldSimple>
      </w:p>
    </w:sdtContent>
  </w:sdt>
  <w:p w:rsidR="00BE35F6" w:rsidRDefault="00BE35F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9C2"/>
    <w:multiLevelType w:val="hybridMultilevel"/>
    <w:tmpl w:val="0C2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823767"/>
    <w:multiLevelType w:val="hybridMultilevel"/>
    <w:tmpl w:val="D7D8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947AED"/>
    <w:multiLevelType w:val="hybridMultilevel"/>
    <w:tmpl w:val="3C80598C"/>
    <w:lvl w:ilvl="0" w:tplc="CF244CC4">
      <w:start w:val="1"/>
      <w:numFmt w:val="decimal"/>
      <w:lvlText w:val="%1."/>
      <w:lvlJc w:val="left"/>
      <w:pPr>
        <w:ind w:left="10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706E"/>
    <w:rsid w:val="000000D3"/>
    <w:rsid w:val="00000435"/>
    <w:rsid w:val="00000AD3"/>
    <w:rsid w:val="00004BE3"/>
    <w:rsid w:val="00006213"/>
    <w:rsid w:val="00006B68"/>
    <w:rsid w:val="00007AC0"/>
    <w:rsid w:val="00007BAE"/>
    <w:rsid w:val="00010643"/>
    <w:rsid w:val="00012D1F"/>
    <w:rsid w:val="00013442"/>
    <w:rsid w:val="000148FA"/>
    <w:rsid w:val="000202B4"/>
    <w:rsid w:val="00022D70"/>
    <w:rsid w:val="000234F8"/>
    <w:rsid w:val="00023C76"/>
    <w:rsid w:val="00023EA5"/>
    <w:rsid w:val="000251A6"/>
    <w:rsid w:val="00025BB7"/>
    <w:rsid w:val="00030328"/>
    <w:rsid w:val="0003421A"/>
    <w:rsid w:val="0003612F"/>
    <w:rsid w:val="0003642A"/>
    <w:rsid w:val="00037727"/>
    <w:rsid w:val="00040594"/>
    <w:rsid w:val="00040B7A"/>
    <w:rsid w:val="00041106"/>
    <w:rsid w:val="000417F9"/>
    <w:rsid w:val="00041C82"/>
    <w:rsid w:val="000424A6"/>
    <w:rsid w:val="00043C19"/>
    <w:rsid w:val="00045FB1"/>
    <w:rsid w:val="00046D65"/>
    <w:rsid w:val="00050D9B"/>
    <w:rsid w:val="00051CFB"/>
    <w:rsid w:val="00052F15"/>
    <w:rsid w:val="00053005"/>
    <w:rsid w:val="00053972"/>
    <w:rsid w:val="0005591E"/>
    <w:rsid w:val="000564F9"/>
    <w:rsid w:val="00057DC9"/>
    <w:rsid w:val="0006073C"/>
    <w:rsid w:val="000619BE"/>
    <w:rsid w:val="000627F2"/>
    <w:rsid w:val="00063916"/>
    <w:rsid w:val="000639C0"/>
    <w:rsid w:val="000641E0"/>
    <w:rsid w:val="00064F77"/>
    <w:rsid w:val="0006504D"/>
    <w:rsid w:val="00066279"/>
    <w:rsid w:val="00066A13"/>
    <w:rsid w:val="000704EB"/>
    <w:rsid w:val="000719F7"/>
    <w:rsid w:val="00071DC4"/>
    <w:rsid w:val="00071E5D"/>
    <w:rsid w:val="00073928"/>
    <w:rsid w:val="00073FB7"/>
    <w:rsid w:val="00075122"/>
    <w:rsid w:val="000756D7"/>
    <w:rsid w:val="0007706E"/>
    <w:rsid w:val="0008012C"/>
    <w:rsid w:val="0008045D"/>
    <w:rsid w:val="000806D2"/>
    <w:rsid w:val="000814DF"/>
    <w:rsid w:val="00082768"/>
    <w:rsid w:val="00084046"/>
    <w:rsid w:val="0008514B"/>
    <w:rsid w:val="000852B9"/>
    <w:rsid w:val="00086549"/>
    <w:rsid w:val="00086672"/>
    <w:rsid w:val="00086C99"/>
    <w:rsid w:val="0008773D"/>
    <w:rsid w:val="00090A80"/>
    <w:rsid w:val="00090B34"/>
    <w:rsid w:val="00091520"/>
    <w:rsid w:val="00092B1D"/>
    <w:rsid w:val="00092EDD"/>
    <w:rsid w:val="00092FC4"/>
    <w:rsid w:val="00093F2A"/>
    <w:rsid w:val="00094538"/>
    <w:rsid w:val="00094654"/>
    <w:rsid w:val="00095388"/>
    <w:rsid w:val="00096A1E"/>
    <w:rsid w:val="00097639"/>
    <w:rsid w:val="00097D40"/>
    <w:rsid w:val="000A287B"/>
    <w:rsid w:val="000A36A2"/>
    <w:rsid w:val="000A4E20"/>
    <w:rsid w:val="000A53EB"/>
    <w:rsid w:val="000A665D"/>
    <w:rsid w:val="000B2A39"/>
    <w:rsid w:val="000B3414"/>
    <w:rsid w:val="000B395E"/>
    <w:rsid w:val="000B5832"/>
    <w:rsid w:val="000B6A59"/>
    <w:rsid w:val="000C1591"/>
    <w:rsid w:val="000C181F"/>
    <w:rsid w:val="000C1EA3"/>
    <w:rsid w:val="000C286F"/>
    <w:rsid w:val="000C6AB2"/>
    <w:rsid w:val="000C7B81"/>
    <w:rsid w:val="000D1D9C"/>
    <w:rsid w:val="000D438B"/>
    <w:rsid w:val="000D44B6"/>
    <w:rsid w:val="000D52C7"/>
    <w:rsid w:val="000D6814"/>
    <w:rsid w:val="000E11E6"/>
    <w:rsid w:val="000E1515"/>
    <w:rsid w:val="000E22EF"/>
    <w:rsid w:val="000E25E4"/>
    <w:rsid w:val="000E403E"/>
    <w:rsid w:val="000E4CE1"/>
    <w:rsid w:val="000E6DF2"/>
    <w:rsid w:val="000F214E"/>
    <w:rsid w:val="000F3736"/>
    <w:rsid w:val="000F43B7"/>
    <w:rsid w:val="000F53CC"/>
    <w:rsid w:val="000F54D8"/>
    <w:rsid w:val="000F7A65"/>
    <w:rsid w:val="00101F6C"/>
    <w:rsid w:val="001020C9"/>
    <w:rsid w:val="00102459"/>
    <w:rsid w:val="00103522"/>
    <w:rsid w:val="00103AFB"/>
    <w:rsid w:val="00104415"/>
    <w:rsid w:val="00104B39"/>
    <w:rsid w:val="0010578B"/>
    <w:rsid w:val="001114F6"/>
    <w:rsid w:val="00111816"/>
    <w:rsid w:val="00112E6F"/>
    <w:rsid w:val="00113DAE"/>
    <w:rsid w:val="001146C7"/>
    <w:rsid w:val="0011471D"/>
    <w:rsid w:val="00115DDC"/>
    <w:rsid w:val="00116370"/>
    <w:rsid w:val="00116AE6"/>
    <w:rsid w:val="0012015E"/>
    <w:rsid w:val="00122B33"/>
    <w:rsid w:val="001230C7"/>
    <w:rsid w:val="00123D0C"/>
    <w:rsid w:val="0012509A"/>
    <w:rsid w:val="00125560"/>
    <w:rsid w:val="00127895"/>
    <w:rsid w:val="001320BF"/>
    <w:rsid w:val="00132BE9"/>
    <w:rsid w:val="001338BC"/>
    <w:rsid w:val="00135CCB"/>
    <w:rsid w:val="00136644"/>
    <w:rsid w:val="00137714"/>
    <w:rsid w:val="00140AFB"/>
    <w:rsid w:val="00143729"/>
    <w:rsid w:val="001460B2"/>
    <w:rsid w:val="0014755C"/>
    <w:rsid w:val="0015162F"/>
    <w:rsid w:val="00152543"/>
    <w:rsid w:val="00152654"/>
    <w:rsid w:val="00154AC6"/>
    <w:rsid w:val="00155C83"/>
    <w:rsid w:val="001578D5"/>
    <w:rsid w:val="00160792"/>
    <w:rsid w:val="00160BE5"/>
    <w:rsid w:val="00160C3D"/>
    <w:rsid w:val="00161136"/>
    <w:rsid w:val="0016412C"/>
    <w:rsid w:val="00164EB1"/>
    <w:rsid w:val="00166464"/>
    <w:rsid w:val="00167527"/>
    <w:rsid w:val="00167A4D"/>
    <w:rsid w:val="00170DC7"/>
    <w:rsid w:val="001724B2"/>
    <w:rsid w:val="001729F5"/>
    <w:rsid w:val="00173608"/>
    <w:rsid w:val="00174144"/>
    <w:rsid w:val="00174DF8"/>
    <w:rsid w:val="001753BF"/>
    <w:rsid w:val="00176C41"/>
    <w:rsid w:val="00176F3F"/>
    <w:rsid w:val="00180FF6"/>
    <w:rsid w:val="00181571"/>
    <w:rsid w:val="001816BE"/>
    <w:rsid w:val="0018190B"/>
    <w:rsid w:val="0018268D"/>
    <w:rsid w:val="00187BB2"/>
    <w:rsid w:val="00190630"/>
    <w:rsid w:val="001919F9"/>
    <w:rsid w:val="00194F62"/>
    <w:rsid w:val="00195A07"/>
    <w:rsid w:val="001965A4"/>
    <w:rsid w:val="001A0109"/>
    <w:rsid w:val="001A1431"/>
    <w:rsid w:val="001A182C"/>
    <w:rsid w:val="001A498C"/>
    <w:rsid w:val="001A584E"/>
    <w:rsid w:val="001A7038"/>
    <w:rsid w:val="001A708C"/>
    <w:rsid w:val="001A7C24"/>
    <w:rsid w:val="001B130C"/>
    <w:rsid w:val="001B1E97"/>
    <w:rsid w:val="001B21AE"/>
    <w:rsid w:val="001B4251"/>
    <w:rsid w:val="001B4C96"/>
    <w:rsid w:val="001C03CF"/>
    <w:rsid w:val="001C0CD3"/>
    <w:rsid w:val="001C27C1"/>
    <w:rsid w:val="001C537B"/>
    <w:rsid w:val="001C6DA6"/>
    <w:rsid w:val="001D14B0"/>
    <w:rsid w:val="001D1B85"/>
    <w:rsid w:val="001D2C2F"/>
    <w:rsid w:val="001D32E4"/>
    <w:rsid w:val="001D34A2"/>
    <w:rsid w:val="001D3739"/>
    <w:rsid w:val="001D3FEA"/>
    <w:rsid w:val="001D438C"/>
    <w:rsid w:val="001D4930"/>
    <w:rsid w:val="001D5AC6"/>
    <w:rsid w:val="001D5AD3"/>
    <w:rsid w:val="001D6563"/>
    <w:rsid w:val="001D6A38"/>
    <w:rsid w:val="001D6D1A"/>
    <w:rsid w:val="001F0EFC"/>
    <w:rsid w:val="001F10E8"/>
    <w:rsid w:val="001F1976"/>
    <w:rsid w:val="001F1AF9"/>
    <w:rsid w:val="001F29B8"/>
    <w:rsid w:val="001F2BFD"/>
    <w:rsid w:val="001F2F86"/>
    <w:rsid w:val="001F3D45"/>
    <w:rsid w:val="001F511E"/>
    <w:rsid w:val="001F52EA"/>
    <w:rsid w:val="001F5B66"/>
    <w:rsid w:val="001F5F56"/>
    <w:rsid w:val="001F696A"/>
    <w:rsid w:val="001F7F64"/>
    <w:rsid w:val="00200FA2"/>
    <w:rsid w:val="00201CE7"/>
    <w:rsid w:val="00203028"/>
    <w:rsid w:val="0020413C"/>
    <w:rsid w:val="0020470F"/>
    <w:rsid w:val="00206821"/>
    <w:rsid w:val="00206FAC"/>
    <w:rsid w:val="0020777F"/>
    <w:rsid w:val="00211634"/>
    <w:rsid w:val="00212335"/>
    <w:rsid w:val="00212BE7"/>
    <w:rsid w:val="002176E6"/>
    <w:rsid w:val="0022087F"/>
    <w:rsid w:val="00220C7F"/>
    <w:rsid w:val="002213D4"/>
    <w:rsid w:val="00223207"/>
    <w:rsid w:val="002252DA"/>
    <w:rsid w:val="00225D33"/>
    <w:rsid w:val="002262BB"/>
    <w:rsid w:val="002304B1"/>
    <w:rsid w:val="0023379C"/>
    <w:rsid w:val="00233EA3"/>
    <w:rsid w:val="00234AD1"/>
    <w:rsid w:val="00234E4E"/>
    <w:rsid w:val="002353D3"/>
    <w:rsid w:val="00235BD2"/>
    <w:rsid w:val="00235F7F"/>
    <w:rsid w:val="0024284A"/>
    <w:rsid w:val="002431E8"/>
    <w:rsid w:val="002438D9"/>
    <w:rsid w:val="00243A65"/>
    <w:rsid w:val="00247080"/>
    <w:rsid w:val="00247426"/>
    <w:rsid w:val="00250ED1"/>
    <w:rsid w:val="00252193"/>
    <w:rsid w:val="00252C47"/>
    <w:rsid w:val="00252D49"/>
    <w:rsid w:val="002530BF"/>
    <w:rsid w:val="00253F7A"/>
    <w:rsid w:val="002542C5"/>
    <w:rsid w:val="002544A4"/>
    <w:rsid w:val="0025741D"/>
    <w:rsid w:val="00263DA2"/>
    <w:rsid w:val="00264557"/>
    <w:rsid w:val="00264BB4"/>
    <w:rsid w:val="00265994"/>
    <w:rsid w:val="00266414"/>
    <w:rsid w:val="00270EB6"/>
    <w:rsid w:val="002713E4"/>
    <w:rsid w:val="002718E0"/>
    <w:rsid w:val="00275132"/>
    <w:rsid w:val="002759BA"/>
    <w:rsid w:val="00275E36"/>
    <w:rsid w:val="00276689"/>
    <w:rsid w:val="0027764E"/>
    <w:rsid w:val="00280020"/>
    <w:rsid w:val="0028003D"/>
    <w:rsid w:val="002814BA"/>
    <w:rsid w:val="00282399"/>
    <w:rsid w:val="00282675"/>
    <w:rsid w:val="00283005"/>
    <w:rsid w:val="002834F3"/>
    <w:rsid w:val="00283B8C"/>
    <w:rsid w:val="00284EB8"/>
    <w:rsid w:val="002859A2"/>
    <w:rsid w:val="002859EE"/>
    <w:rsid w:val="00285C62"/>
    <w:rsid w:val="00286629"/>
    <w:rsid w:val="00287E81"/>
    <w:rsid w:val="00287FB3"/>
    <w:rsid w:val="00294BFA"/>
    <w:rsid w:val="002959D3"/>
    <w:rsid w:val="002A289A"/>
    <w:rsid w:val="002A2D6F"/>
    <w:rsid w:val="002A3C22"/>
    <w:rsid w:val="002A6D9D"/>
    <w:rsid w:val="002B05BD"/>
    <w:rsid w:val="002B138A"/>
    <w:rsid w:val="002B3464"/>
    <w:rsid w:val="002B397A"/>
    <w:rsid w:val="002B4CEC"/>
    <w:rsid w:val="002B4D80"/>
    <w:rsid w:val="002B58FF"/>
    <w:rsid w:val="002C0E65"/>
    <w:rsid w:val="002C135A"/>
    <w:rsid w:val="002C1640"/>
    <w:rsid w:val="002C2A0A"/>
    <w:rsid w:val="002C4562"/>
    <w:rsid w:val="002C4EC8"/>
    <w:rsid w:val="002C51E5"/>
    <w:rsid w:val="002C683A"/>
    <w:rsid w:val="002D26CD"/>
    <w:rsid w:val="002D284C"/>
    <w:rsid w:val="002D2CA3"/>
    <w:rsid w:val="002D37C5"/>
    <w:rsid w:val="002D3CDA"/>
    <w:rsid w:val="002D3E81"/>
    <w:rsid w:val="002E44B2"/>
    <w:rsid w:val="002E4CDE"/>
    <w:rsid w:val="002E4EB5"/>
    <w:rsid w:val="002E57F3"/>
    <w:rsid w:val="002E6411"/>
    <w:rsid w:val="002F013B"/>
    <w:rsid w:val="002F0245"/>
    <w:rsid w:val="002F1086"/>
    <w:rsid w:val="002F114E"/>
    <w:rsid w:val="002F2105"/>
    <w:rsid w:val="002F4FDE"/>
    <w:rsid w:val="002F660E"/>
    <w:rsid w:val="002F7725"/>
    <w:rsid w:val="003004B7"/>
    <w:rsid w:val="00300680"/>
    <w:rsid w:val="0030320A"/>
    <w:rsid w:val="00306AA4"/>
    <w:rsid w:val="00306DBC"/>
    <w:rsid w:val="00311769"/>
    <w:rsid w:val="0031208E"/>
    <w:rsid w:val="00312F72"/>
    <w:rsid w:val="0031524B"/>
    <w:rsid w:val="003154CE"/>
    <w:rsid w:val="00315D17"/>
    <w:rsid w:val="0031616F"/>
    <w:rsid w:val="00316585"/>
    <w:rsid w:val="00316893"/>
    <w:rsid w:val="00317E43"/>
    <w:rsid w:val="003202C2"/>
    <w:rsid w:val="0032038A"/>
    <w:rsid w:val="00320559"/>
    <w:rsid w:val="00322720"/>
    <w:rsid w:val="003231CE"/>
    <w:rsid w:val="0032482C"/>
    <w:rsid w:val="003248F0"/>
    <w:rsid w:val="00324A97"/>
    <w:rsid w:val="0032762A"/>
    <w:rsid w:val="00333873"/>
    <w:rsid w:val="00334CBC"/>
    <w:rsid w:val="0033553C"/>
    <w:rsid w:val="00335E83"/>
    <w:rsid w:val="00336793"/>
    <w:rsid w:val="00336B00"/>
    <w:rsid w:val="003375DD"/>
    <w:rsid w:val="00341188"/>
    <w:rsid w:val="00342F56"/>
    <w:rsid w:val="00344712"/>
    <w:rsid w:val="00344907"/>
    <w:rsid w:val="00344C90"/>
    <w:rsid w:val="0034711C"/>
    <w:rsid w:val="0035086B"/>
    <w:rsid w:val="0035265F"/>
    <w:rsid w:val="00352B14"/>
    <w:rsid w:val="00352EC0"/>
    <w:rsid w:val="00353ED9"/>
    <w:rsid w:val="003541AC"/>
    <w:rsid w:val="0035532A"/>
    <w:rsid w:val="00355D52"/>
    <w:rsid w:val="00357C9A"/>
    <w:rsid w:val="00361556"/>
    <w:rsid w:val="00361FE5"/>
    <w:rsid w:val="003636E1"/>
    <w:rsid w:val="0037303D"/>
    <w:rsid w:val="003740ED"/>
    <w:rsid w:val="003745FB"/>
    <w:rsid w:val="003754C9"/>
    <w:rsid w:val="00375B8C"/>
    <w:rsid w:val="00377C57"/>
    <w:rsid w:val="00381436"/>
    <w:rsid w:val="00381F88"/>
    <w:rsid w:val="00383DED"/>
    <w:rsid w:val="0038525A"/>
    <w:rsid w:val="003870C5"/>
    <w:rsid w:val="00390F0A"/>
    <w:rsid w:val="0039168F"/>
    <w:rsid w:val="00391BBA"/>
    <w:rsid w:val="0039346D"/>
    <w:rsid w:val="00393919"/>
    <w:rsid w:val="00393C07"/>
    <w:rsid w:val="0039471F"/>
    <w:rsid w:val="003952D7"/>
    <w:rsid w:val="00395C43"/>
    <w:rsid w:val="00395F44"/>
    <w:rsid w:val="003969B0"/>
    <w:rsid w:val="00397DED"/>
    <w:rsid w:val="003A25CD"/>
    <w:rsid w:val="003A2E0C"/>
    <w:rsid w:val="003A5029"/>
    <w:rsid w:val="003A5108"/>
    <w:rsid w:val="003A6033"/>
    <w:rsid w:val="003B22A5"/>
    <w:rsid w:val="003B407D"/>
    <w:rsid w:val="003B4B84"/>
    <w:rsid w:val="003B5469"/>
    <w:rsid w:val="003B72C9"/>
    <w:rsid w:val="003C37C3"/>
    <w:rsid w:val="003C6D14"/>
    <w:rsid w:val="003C7D9D"/>
    <w:rsid w:val="003C7E6F"/>
    <w:rsid w:val="003D221D"/>
    <w:rsid w:val="003D4B12"/>
    <w:rsid w:val="003D595A"/>
    <w:rsid w:val="003D7DDF"/>
    <w:rsid w:val="003E005E"/>
    <w:rsid w:val="003E0901"/>
    <w:rsid w:val="003E1BE8"/>
    <w:rsid w:val="003E3B06"/>
    <w:rsid w:val="003E49D4"/>
    <w:rsid w:val="003E5624"/>
    <w:rsid w:val="003E5C48"/>
    <w:rsid w:val="003E62C3"/>
    <w:rsid w:val="003E6582"/>
    <w:rsid w:val="003F154C"/>
    <w:rsid w:val="003F3E49"/>
    <w:rsid w:val="003F7F29"/>
    <w:rsid w:val="00401771"/>
    <w:rsid w:val="0040192F"/>
    <w:rsid w:val="004079FD"/>
    <w:rsid w:val="00410E21"/>
    <w:rsid w:val="004110EF"/>
    <w:rsid w:val="00411B0F"/>
    <w:rsid w:val="00412C53"/>
    <w:rsid w:val="004130C4"/>
    <w:rsid w:val="00413A73"/>
    <w:rsid w:val="00414459"/>
    <w:rsid w:val="0041547F"/>
    <w:rsid w:val="00417590"/>
    <w:rsid w:val="004219D5"/>
    <w:rsid w:val="00427CD0"/>
    <w:rsid w:val="00427EA8"/>
    <w:rsid w:val="00433D12"/>
    <w:rsid w:val="00441426"/>
    <w:rsid w:val="00442005"/>
    <w:rsid w:val="00443369"/>
    <w:rsid w:val="004448EC"/>
    <w:rsid w:val="004453FC"/>
    <w:rsid w:val="00445523"/>
    <w:rsid w:val="004472E7"/>
    <w:rsid w:val="00455544"/>
    <w:rsid w:val="0045556F"/>
    <w:rsid w:val="004570D1"/>
    <w:rsid w:val="004571DF"/>
    <w:rsid w:val="00457B84"/>
    <w:rsid w:val="00457FC7"/>
    <w:rsid w:val="004604BA"/>
    <w:rsid w:val="004616A1"/>
    <w:rsid w:val="00461DCB"/>
    <w:rsid w:val="004657D6"/>
    <w:rsid w:val="00467376"/>
    <w:rsid w:val="0047100B"/>
    <w:rsid w:val="00471581"/>
    <w:rsid w:val="004735C4"/>
    <w:rsid w:val="00476C4A"/>
    <w:rsid w:val="004779C1"/>
    <w:rsid w:val="0048271D"/>
    <w:rsid w:val="004838C9"/>
    <w:rsid w:val="0048408C"/>
    <w:rsid w:val="0048605C"/>
    <w:rsid w:val="0048667A"/>
    <w:rsid w:val="0048670D"/>
    <w:rsid w:val="00486EA1"/>
    <w:rsid w:val="00492CDB"/>
    <w:rsid w:val="00492EB8"/>
    <w:rsid w:val="00494D99"/>
    <w:rsid w:val="0049543E"/>
    <w:rsid w:val="004954B8"/>
    <w:rsid w:val="00496605"/>
    <w:rsid w:val="004A4474"/>
    <w:rsid w:val="004A5F13"/>
    <w:rsid w:val="004A7AFB"/>
    <w:rsid w:val="004B1A39"/>
    <w:rsid w:val="004B1BD5"/>
    <w:rsid w:val="004B3AC4"/>
    <w:rsid w:val="004C17EF"/>
    <w:rsid w:val="004C3007"/>
    <w:rsid w:val="004C43AF"/>
    <w:rsid w:val="004C5DDE"/>
    <w:rsid w:val="004C719B"/>
    <w:rsid w:val="004D0F23"/>
    <w:rsid w:val="004D2F05"/>
    <w:rsid w:val="004D6EEA"/>
    <w:rsid w:val="004E132F"/>
    <w:rsid w:val="004E4AD8"/>
    <w:rsid w:val="004F0DFA"/>
    <w:rsid w:val="004F2DCB"/>
    <w:rsid w:val="004F5CB9"/>
    <w:rsid w:val="004F5CF8"/>
    <w:rsid w:val="00500760"/>
    <w:rsid w:val="00500CC6"/>
    <w:rsid w:val="005024E2"/>
    <w:rsid w:val="00502A65"/>
    <w:rsid w:val="00505CE6"/>
    <w:rsid w:val="00506FAA"/>
    <w:rsid w:val="005079BB"/>
    <w:rsid w:val="00511032"/>
    <w:rsid w:val="00511BC3"/>
    <w:rsid w:val="00511FCA"/>
    <w:rsid w:val="00515A1F"/>
    <w:rsid w:val="0051757A"/>
    <w:rsid w:val="005220D2"/>
    <w:rsid w:val="00522340"/>
    <w:rsid w:val="00523EBB"/>
    <w:rsid w:val="00524986"/>
    <w:rsid w:val="0052564F"/>
    <w:rsid w:val="00526B68"/>
    <w:rsid w:val="0052774B"/>
    <w:rsid w:val="0052798B"/>
    <w:rsid w:val="00527E3E"/>
    <w:rsid w:val="00530584"/>
    <w:rsid w:val="00530D73"/>
    <w:rsid w:val="005312B2"/>
    <w:rsid w:val="00531F59"/>
    <w:rsid w:val="005321B7"/>
    <w:rsid w:val="0053231D"/>
    <w:rsid w:val="005406F6"/>
    <w:rsid w:val="005420DF"/>
    <w:rsid w:val="005436DF"/>
    <w:rsid w:val="00544E70"/>
    <w:rsid w:val="00547A7C"/>
    <w:rsid w:val="00550E9C"/>
    <w:rsid w:val="00550FFA"/>
    <w:rsid w:val="00551E87"/>
    <w:rsid w:val="00554357"/>
    <w:rsid w:val="005551FA"/>
    <w:rsid w:val="005560D1"/>
    <w:rsid w:val="005579BE"/>
    <w:rsid w:val="00561EBB"/>
    <w:rsid w:val="00563F89"/>
    <w:rsid w:val="0056766C"/>
    <w:rsid w:val="00570F26"/>
    <w:rsid w:val="00572519"/>
    <w:rsid w:val="005766DA"/>
    <w:rsid w:val="005772A1"/>
    <w:rsid w:val="00577996"/>
    <w:rsid w:val="005808EA"/>
    <w:rsid w:val="00581E03"/>
    <w:rsid w:val="005839D2"/>
    <w:rsid w:val="005843B5"/>
    <w:rsid w:val="005849E4"/>
    <w:rsid w:val="005850A0"/>
    <w:rsid w:val="0058594E"/>
    <w:rsid w:val="00586133"/>
    <w:rsid w:val="00590702"/>
    <w:rsid w:val="00591214"/>
    <w:rsid w:val="00591321"/>
    <w:rsid w:val="005918C5"/>
    <w:rsid w:val="00592B96"/>
    <w:rsid w:val="005949F3"/>
    <w:rsid w:val="00597A6C"/>
    <w:rsid w:val="005A10AD"/>
    <w:rsid w:val="005A156A"/>
    <w:rsid w:val="005A4112"/>
    <w:rsid w:val="005A499D"/>
    <w:rsid w:val="005A6D0F"/>
    <w:rsid w:val="005B057F"/>
    <w:rsid w:val="005B0F2A"/>
    <w:rsid w:val="005B1B09"/>
    <w:rsid w:val="005B3E38"/>
    <w:rsid w:val="005B4CA5"/>
    <w:rsid w:val="005C30AC"/>
    <w:rsid w:val="005C3AF2"/>
    <w:rsid w:val="005C4FF1"/>
    <w:rsid w:val="005D05DC"/>
    <w:rsid w:val="005D0C7F"/>
    <w:rsid w:val="005D13A5"/>
    <w:rsid w:val="005D2396"/>
    <w:rsid w:val="005D29DE"/>
    <w:rsid w:val="005D2A21"/>
    <w:rsid w:val="005D2CC2"/>
    <w:rsid w:val="005D4C4B"/>
    <w:rsid w:val="005E0B1D"/>
    <w:rsid w:val="005E15B6"/>
    <w:rsid w:val="005E236E"/>
    <w:rsid w:val="005E2E51"/>
    <w:rsid w:val="005E31C9"/>
    <w:rsid w:val="005F0095"/>
    <w:rsid w:val="005F1896"/>
    <w:rsid w:val="005F5905"/>
    <w:rsid w:val="005F6B25"/>
    <w:rsid w:val="00602170"/>
    <w:rsid w:val="00602339"/>
    <w:rsid w:val="00602A44"/>
    <w:rsid w:val="006036A4"/>
    <w:rsid w:val="006059AE"/>
    <w:rsid w:val="00606825"/>
    <w:rsid w:val="00607DCC"/>
    <w:rsid w:val="0061364E"/>
    <w:rsid w:val="00613E40"/>
    <w:rsid w:val="006150EC"/>
    <w:rsid w:val="00620B6F"/>
    <w:rsid w:val="00621504"/>
    <w:rsid w:val="00622EC2"/>
    <w:rsid w:val="00625486"/>
    <w:rsid w:val="0062582C"/>
    <w:rsid w:val="00625BEA"/>
    <w:rsid w:val="0062694D"/>
    <w:rsid w:val="00626B00"/>
    <w:rsid w:val="00630AF0"/>
    <w:rsid w:val="00632816"/>
    <w:rsid w:val="00632D81"/>
    <w:rsid w:val="00636793"/>
    <w:rsid w:val="00640DDB"/>
    <w:rsid w:val="00641041"/>
    <w:rsid w:val="00641303"/>
    <w:rsid w:val="006415C6"/>
    <w:rsid w:val="006427DD"/>
    <w:rsid w:val="00642A28"/>
    <w:rsid w:val="0064352B"/>
    <w:rsid w:val="00645E58"/>
    <w:rsid w:val="00646D7D"/>
    <w:rsid w:val="00647799"/>
    <w:rsid w:val="00651001"/>
    <w:rsid w:val="006513B0"/>
    <w:rsid w:val="0065202B"/>
    <w:rsid w:val="006523FA"/>
    <w:rsid w:val="00653599"/>
    <w:rsid w:val="00655476"/>
    <w:rsid w:val="00656F46"/>
    <w:rsid w:val="006625A5"/>
    <w:rsid w:val="00662AD0"/>
    <w:rsid w:val="00666FE3"/>
    <w:rsid w:val="00666FE9"/>
    <w:rsid w:val="006673AB"/>
    <w:rsid w:val="006673E9"/>
    <w:rsid w:val="00670058"/>
    <w:rsid w:val="00672DBF"/>
    <w:rsid w:val="00673A06"/>
    <w:rsid w:val="0067513A"/>
    <w:rsid w:val="00677857"/>
    <w:rsid w:val="00677AE5"/>
    <w:rsid w:val="006827A5"/>
    <w:rsid w:val="00682F7B"/>
    <w:rsid w:val="00683A00"/>
    <w:rsid w:val="006848B2"/>
    <w:rsid w:val="0068686B"/>
    <w:rsid w:val="00691797"/>
    <w:rsid w:val="00691DC9"/>
    <w:rsid w:val="006932C5"/>
    <w:rsid w:val="00697986"/>
    <w:rsid w:val="00697AAF"/>
    <w:rsid w:val="006A105A"/>
    <w:rsid w:val="006A11F9"/>
    <w:rsid w:val="006A30E2"/>
    <w:rsid w:val="006A363E"/>
    <w:rsid w:val="006A5F63"/>
    <w:rsid w:val="006A637D"/>
    <w:rsid w:val="006A7A55"/>
    <w:rsid w:val="006B4FE5"/>
    <w:rsid w:val="006B5446"/>
    <w:rsid w:val="006B5851"/>
    <w:rsid w:val="006B6A39"/>
    <w:rsid w:val="006C2034"/>
    <w:rsid w:val="006C3555"/>
    <w:rsid w:val="006C515D"/>
    <w:rsid w:val="006C54A2"/>
    <w:rsid w:val="006C5B73"/>
    <w:rsid w:val="006C67A6"/>
    <w:rsid w:val="006C69F7"/>
    <w:rsid w:val="006C79A1"/>
    <w:rsid w:val="006D0194"/>
    <w:rsid w:val="006D3FDC"/>
    <w:rsid w:val="006D74FF"/>
    <w:rsid w:val="006D770D"/>
    <w:rsid w:val="006D7955"/>
    <w:rsid w:val="006E069D"/>
    <w:rsid w:val="006E1CA1"/>
    <w:rsid w:val="006E269A"/>
    <w:rsid w:val="006E2C2C"/>
    <w:rsid w:val="006E4B4D"/>
    <w:rsid w:val="006E6A0F"/>
    <w:rsid w:val="006F0C66"/>
    <w:rsid w:val="006F1CD9"/>
    <w:rsid w:val="006F2DC0"/>
    <w:rsid w:val="006F3727"/>
    <w:rsid w:val="006F5522"/>
    <w:rsid w:val="006F704A"/>
    <w:rsid w:val="006F7355"/>
    <w:rsid w:val="00700053"/>
    <w:rsid w:val="00701050"/>
    <w:rsid w:val="00702D03"/>
    <w:rsid w:val="007035EC"/>
    <w:rsid w:val="00704A74"/>
    <w:rsid w:val="00705AA9"/>
    <w:rsid w:val="00705FC6"/>
    <w:rsid w:val="00706E1A"/>
    <w:rsid w:val="007078F7"/>
    <w:rsid w:val="00710215"/>
    <w:rsid w:val="00710638"/>
    <w:rsid w:val="00710686"/>
    <w:rsid w:val="007109C2"/>
    <w:rsid w:val="00710DA4"/>
    <w:rsid w:val="007115C4"/>
    <w:rsid w:val="00711BED"/>
    <w:rsid w:val="00711CA9"/>
    <w:rsid w:val="00712A38"/>
    <w:rsid w:val="00713365"/>
    <w:rsid w:val="00713383"/>
    <w:rsid w:val="007149C4"/>
    <w:rsid w:val="00715B0F"/>
    <w:rsid w:val="00716D9C"/>
    <w:rsid w:val="00717E51"/>
    <w:rsid w:val="00720F8B"/>
    <w:rsid w:val="00722280"/>
    <w:rsid w:val="007225D3"/>
    <w:rsid w:val="007229A3"/>
    <w:rsid w:val="00723164"/>
    <w:rsid w:val="00725033"/>
    <w:rsid w:val="00725613"/>
    <w:rsid w:val="00725B57"/>
    <w:rsid w:val="00727D86"/>
    <w:rsid w:val="00732A85"/>
    <w:rsid w:val="00732CAE"/>
    <w:rsid w:val="00735432"/>
    <w:rsid w:val="00735F7D"/>
    <w:rsid w:val="007362A6"/>
    <w:rsid w:val="00736505"/>
    <w:rsid w:val="007414AE"/>
    <w:rsid w:val="00741676"/>
    <w:rsid w:val="0074343F"/>
    <w:rsid w:val="00744011"/>
    <w:rsid w:val="00744E8C"/>
    <w:rsid w:val="007473B2"/>
    <w:rsid w:val="00750991"/>
    <w:rsid w:val="00751B39"/>
    <w:rsid w:val="00752191"/>
    <w:rsid w:val="0075228D"/>
    <w:rsid w:val="00752324"/>
    <w:rsid w:val="007525D5"/>
    <w:rsid w:val="00753152"/>
    <w:rsid w:val="0075500B"/>
    <w:rsid w:val="007553E9"/>
    <w:rsid w:val="007563FF"/>
    <w:rsid w:val="00757B6D"/>
    <w:rsid w:val="00757D3E"/>
    <w:rsid w:val="007604E3"/>
    <w:rsid w:val="00762581"/>
    <w:rsid w:val="00762EC0"/>
    <w:rsid w:val="00762ED0"/>
    <w:rsid w:val="007645E2"/>
    <w:rsid w:val="00766380"/>
    <w:rsid w:val="00767F13"/>
    <w:rsid w:val="00772510"/>
    <w:rsid w:val="00773539"/>
    <w:rsid w:val="0077430C"/>
    <w:rsid w:val="00774315"/>
    <w:rsid w:val="0077646F"/>
    <w:rsid w:val="00781229"/>
    <w:rsid w:val="00781422"/>
    <w:rsid w:val="00782171"/>
    <w:rsid w:val="00784241"/>
    <w:rsid w:val="007843DA"/>
    <w:rsid w:val="00785841"/>
    <w:rsid w:val="00790834"/>
    <w:rsid w:val="0079147C"/>
    <w:rsid w:val="007917DA"/>
    <w:rsid w:val="007921D7"/>
    <w:rsid w:val="007926C1"/>
    <w:rsid w:val="00792EA9"/>
    <w:rsid w:val="00793758"/>
    <w:rsid w:val="00793FCF"/>
    <w:rsid w:val="00794C87"/>
    <w:rsid w:val="0079710E"/>
    <w:rsid w:val="007A19AE"/>
    <w:rsid w:val="007A25F4"/>
    <w:rsid w:val="007A2FF2"/>
    <w:rsid w:val="007A344A"/>
    <w:rsid w:val="007A6A3F"/>
    <w:rsid w:val="007B0592"/>
    <w:rsid w:val="007B0B1B"/>
    <w:rsid w:val="007B3540"/>
    <w:rsid w:val="007B636C"/>
    <w:rsid w:val="007B79BF"/>
    <w:rsid w:val="007C0460"/>
    <w:rsid w:val="007C0690"/>
    <w:rsid w:val="007C34FA"/>
    <w:rsid w:val="007C3BC8"/>
    <w:rsid w:val="007C3F4B"/>
    <w:rsid w:val="007C4B7B"/>
    <w:rsid w:val="007C4D71"/>
    <w:rsid w:val="007C55E0"/>
    <w:rsid w:val="007C6F05"/>
    <w:rsid w:val="007C7032"/>
    <w:rsid w:val="007C7D65"/>
    <w:rsid w:val="007D0979"/>
    <w:rsid w:val="007D0BBA"/>
    <w:rsid w:val="007D0C3C"/>
    <w:rsid w:val="007D1468"/>
    <w:rsid w:val="007D2977"/>
    <w:rsid w:val="007D6F06"/>
    <w:rsid w:val="007E4BE0"/>
    <w:rsid w:val="007E501B"/>
    <w:rsid w:val="007E7BB0"/>
    <w:rsid w:val="007F0570"/>
    <w:rsid w:val="007F089B"/>
    <w:rsid w:val="007F237E"/>
    <w:rsid w:val="007F51C2"/>
    <w:rsid w:val="007F5776"/>
    <w:rsid w:val="007F65BF"/>
    <w:rsid w:val="007F67C1"/>
    <w:rsid w:val="007F6FD7"/>
    <w:rsid w:val="007F7BC1"/>
    <w:rsid w:val="007F7BE6"/>
    <w:rsid w:val="008003F3"/>
    <w:rsid w:val="00801590"/>
    <w:rsid w:val="008036E9"/>
    <w:rsid w:val="00804BDF"/>
    <w:rsid w:val="008051B5"/>
    <w:rsid w:val="008129D9"/>
    <w:rsid w:val="008136CF"/>
    <w:rsid w:val="00813EFB"/>
    <w:rsid w:val="00813FE8"/>
    <w:rsid w:val="00815997"/>
    <w:rsid w:val="00816156"/>
    <w:rsid w:val="00817053"/>
    <w:rsid w:val="00820DC2"/>
    <w:rsid w:val="00820FB0"/>
    <w:rsid w:val="00822687"/>
    <w:rsid w:val="00822E79"/>
    <w:rsid w:val="008230AD"/>
    <w:rsid w:val="0082336E"/>
    <w:rsid w:val="00823425"/>
    <w:rsid w:val="0082383B"/>
    <w:rsid w:val="00826FB1"/>
    <w:rsid w:val="00830818"/>
    <w:rsid w:val="0083107F"/>
    <w:rsid w:val="00831DD3"/>
    <w:rsid w:val="00833254"/>
    <w:rsid w:val="00833D01"/>
    <w:rsid w:val="00834711"/>
    <w:rsid w:val="008348EE"/>
    <w:rsid w:val="00834A58"/>
    <w:rsid w:val="008352CB"/>
    <w:rsid w:val="00835602"/>
    <w:rsid w:val="008368B9"/>
    <w:rsid w:val="00840D4D"/>
    <w:rsid w:val="00842333"/>
    <w:rsid w:val="008427F2"/>
    <w:rsid w:val="008430BB"/>
    <w:rsid w:val="00843C66"/>
    <w:rsid w:val="008441C7"/>
    <w:rsid w:val="00844E8D"/>
    <w:rsid w:val="00845E2B"/>
    <w:rsid w:val="00845E65"/>
    <w:rsid w:val="0085079D"/>
    <w:rsid w:val="008510F5"/>
    <w:rsid w:val="008513B0"/>
    <w:rsid w:val="008525E3"/>
    <w:rsid w:val="00852C56"/>
    <w:rsid w:val="008532BB"/>
    <w:rsid w:val="008546E9"/>
    <w:rsid w:val="00854922"/>
    <w:rsid w:val="0085761F"/>
    <w:rsid w:val="00861A05"/>
    <w:rsid w:val="008632EC"/>
    <w:rsid w:val="0086357E"/>
    <w:rsid w:val="00863DA4"/>
    <w:rsid w:val="00863FFE"/>
    <w:rsid w:val="008641C1"/>
    <w:rsid w:val="00865DDB"/>
    <w:rsid w:val="008739DF"/>
    <w:rsid w:val="00875A94"/>
    <w:rsid w:val="00877309"/>
    <w:rsid w:val="008804FD"/>
    <w:rsid w:val="00880C56"/>
    <w:rsid w:val="0088501E"/>
    <w:rsid w:val="00885430"/>
    <w:rsid w:val="008857F2"/>
    <w:rsid w:val="00885BB6"/>
    <w:rsid w:val="00887972"/>
    <w:rsid w:val="008901F0"/>
    <w:rsid w:val="00891539"/>
    <w:rsid w:val="008922CB"/>
    <w:rsid w:val="008946F0"/>
    <w:rsid w:val="00894F3E"/>
    <w:rsid w:val="008954B4"/>
    <w:rsid w:val="00895B1A"/>
    <w:rsid w:val="00896828"/>
    <w:rsid w:val="008A0C43"/>
    <w:rsid w:val="008A2067"/>
    <w:rsid w:val="008A5835"/>
    <w:rsid w:val="008A679B"/>
    <w:rsid w:val="008A67EB"/>
    <w:rsid w:val="008A699D"/>
    <w:rsid w:val="008B0E17"/>
    <w:rsid w:val="008B3860"/>
    <w:rsid w:val="008B4FEE"/>
    <w:rsid w:val="008C271B"/>
    <w:rsid w:val="008C28B1"/>
    <w:rsid w:val="008C2A63"/>
    <w:rsid w:val="008C45B7"/>
    <w:rsid w:val="008C567F"/>
    <w:rsid w:val="008C5B88"/>
    <w:rsid w:val="008D1EE2"/>
    <w:rsid w:val="008D4718"/>
    <w:rsid w:val="008D47C7"/>
    <w:rsid w:val="008D6ABE"/>
    <w:rsid w:val="008E0275"/>
    <w:rsid w:val="008E274C"/>
    <w:rsid w:val="008E2EFF"/>
    <w:rsid w:val="008E2F75"/>
    <w:rsid w:val="008E4F3A"/>
    <w:rsid w:val="008E5C1D"/>
    <w:rsid w:val="008E6101"/>
    <w:rsid w:val="008E69A2"/>
    <w:rsid w:val="008E7125"/>
    <w:rsid w:val="008E77EB"/>
    <w:rsid w:val="008F01FD"/>
    <w:rsid w:val="008F023E"/>
    <w:rsid w:val="008F1012"/>
    <w:rsid w:val="008F1690"/>
    <w:rsid w:val="008F188E"/>
    <w:rsid w:val="008F5F68"/>
    <w:rsid w:val="00900CC8"/>
    <w:rsid w:val="009016E5"/>
    <w:rsid w:val="00903F43"/>
    <w:rsid w:val="00904B1A"/>
    <w:rsid w:val="00906696"/>
    <w:rsid w:val="009068B8"/>
    <w:rsid w:val="009072F0"/>
    <w:rsid w:val="00910266"/>
    <w:rsid w:val="0091155E"/>
    <w:rsid w:val="00911AD2"/>
    <w:rsid w:val="00911F6B"/>
    <w:rsid w:val="00914452"/>
    <w:rsid w:val="00914E5A"/>
    <w:rsid w:val="0091678D"/>
    <w:rsid w:val="0092093A"/>
    <w:rsid w:val="00923CC2"/>
    <w:rsid w:val="00926C26"/>
    <w:rsid w:val="00927EA3"/>
    <w:rsid w:val="00930097"/>
    <w:rsid w:val="00930944"/>
    <w:rsid w:val="00931B08"/>
    <w:rsid w:val="00931D0B"/>
    <w:rsid w:val="00932886"/>
    <w:rsid w:val="00941F6C"/>
    <w:rsid w:val="00942A6E"/>
    <w:rsid w:val="009438CF"/>
    <w:rsid w:val="00944FF0"/>
    <w:rsid w:val="00947337"/>
    <w:rsid w:val="00951039"/>
    <w:rsid w:val="009510E9"/>
    <w:rsid w:val="009511EC"/>
    <w:rsid w:val="00952736"/>
    <w:rsid w:val="00952B25"/>
    <w:rsid w:val="00957105"/>
    <w:rsid w:val="00960220"/>
    <w:rsid w:val="00960492"/>
    <w:rsid w:val="00964317"/>
    <w:rsid w:val="00964C52"/>
    <w:rsid w:val="00965254"/>
    <w:rsid w:val="0096691D"/>
    <w:rsid w:val="00966E50"/>
    <w:rsid w:val="00971559"/>
    <w:rsid w:val="009725A1"/>
    <w:rsid w:val="00972696"/>
    <w:rsid w:val="00972B82"/>
    <w:rsid w:val="00973831"/>
    <w:rsid w:val="0097409B"/>
    <w:rsid w:val="00974FE4"/>
    <w:rsid w:val="009757C3"/>
    <w:rsid w:val="00975E26"/>
    <w:rsid w:val="009800E0"/>
    <w:rsid w:val="009803ED"/>
    <w:rsid w:val="0098295F"/>
    <w:rsid w:val="00982DA6"/>
    <w:rsid w:val="00985C41"/>
    <w:rsid w:val="00986084"/>
    <w:rsid w:val="00986BFF"/>
    <w:rsid w:val="00990812"/>
    <w:rsid w:val="009931BD"/>
    <w:rsid w:val="00994795"/>
    <w:rsid w:val="00995C08"/>
    <w:rsid w:val="00996C04"/>
    <w:rsid w:val="00997C54"/>
    <w:rsid w:val="009A0BDA"/>
    <w:rsid w:val="009A202B"/>
    <w:rsid w:val="009A24B2"/>
    <w:rsid w:val="009A2EF8"/>
    <w:rsid w:val="009A466F"/>
    <w:rsid w:val="009A4B75"/>
    <w:rsid w:val="009A50B5"/>
    <w:rsid w:val="009B0CF1"/>
    <w:rsid w:val="009B3456"/>
    <w:rsid w:val="009B3507"/>
    <w:rsid w:val="009B40AF"/>
    <w:rsid w:val="009B42CB"/>
    <w:rsid w:val="009B6361"/>
    <w:rsid w:val="009B72FD"/>
    <w:rsid w:val="009B77E1"/>
    <w:rsid w:val="009C0B72"/>
    <w:rsid w:val="009C2D8D"/>
    <w:rsid w:val="009C3BFB"/>
    <w:rsid w:val="009C5E0C"/>
    <w:rsid w:val="009D19E5"/>
    <w:rsid w:val="009D1A81"/>
    <w:rsid w:val="009D21F4"/>
    <w:rsid w:val="009D26CA"/>
    <w:rsid w:val="009D3169"/>
    <w:rsid w:val="009D399B"/>
    <w:rsid w:val="009D5597"/>
    <w:rsid w:val="009D5BCA"/>
    <w:rsid w:val="009D600E"/>
    <w:rsid w:val="009E1A7A"/>
    <w:rsid w:val="009E1BA0"/>
    <w:rsid w:val="009E2834"/>
    <w:rsid w:val="009E290A"/>
    <w:rsid w:val="009E323E"/>
    <w:rsid w:val="009E4605"/>
    <w:rsid w:val="009E541F"/>
    <w:rsid w:val="009E5C92"/>
    <w:rsid w:val="009E6BBE"/>
    <w:rsid w:val="009E70E0"/>
    <w:rsid w:val="009F022E"/>
    <w:rsid w:val="009F14D7"/>
    <w:rsid w:val="009F3EF2"/>
    <w:rsid w:val="009F426C"/>
    <w:rsid w:val="009F5452"/>
    <w:rsid w:val="009F5DB4"/>
    <w:rsid w:val="009F78C5"/>
    <w:rsid w:val="00A00118"/>
    <w:rsid w:val="00A01F3B"/>
    <w:rsid w:val="00A0283C"/>
    <w:rsid w:val="00A03AA9"/>
    <w:rsid w:val="00A054C1"/>
    <w:rsid w:val="00A05F1D"/>
    <w:rsid w:val="00A079E2"/>
    <w:rsid w:val="00A1113C"/>
    <w:rsid w:val="00A1340C"/>
    <w:rsid w:val="00A146BC"/>
    <w:rsid w:val="00A1483A"/>
    <w:rsid w:val="00A1536A"/>
    <w:rsid w:val="00A16553"/>
    <w:rsid w:val="00A171E2"/>
    <w:rsid w:val="00A23ABF"/>
    <w:rsid w:val="00A241A5"/>
    <w:rsid w:val="00A246C4"/>
    <w:rsid w:val="00A25B29"/>
    <w:rsid w:val="00A25CB0"/>
    <w:rsid w:val="00A26079"/>
    <w:rsid w:val="00A26B1A"/>
    <w:rsid w:val="00A26F3B"/>
    <w:rsid w:val="00A30048"/>
    <w:rsid w:val="00A3088A"/>
    <w:rsid w:val="00A33A96"/>
    <w:rsid w:val="00A34A61"/>
    <w:rsid w:val="00A355B1"/>
    <w:rsid w:val="00A41037"/>
    <w:rsid w:val="00A410D8"/>
    <w:rsid w:val="00A42660"/>
    <w:rsid w:val="00A441F7"/>
    <w:rsid w:val="00A45805"/>
    <w:rsid w:val="00A45D65"/>
    <w:rsid w:val="00A47E72"/>
    <w:rsid w:val="00A5098D"/>
    <w:rsid w:val="00A50FB7"/>
    <w:rsid w:val="00A51ABD"/>
    <w:rsid w:val="00A54DAD"/>
    <w:rsid w:val="00A55971"/>
    <w:rsid w:val="00A55D03"/>
    <w:rsid w:val="00A612A8"/>
    <w:rsid w:val="00A612BF"/>
    <w:rsid w:val="00A61C19"/>
    <w:rsid w:val="00A62400"/>
    <w:rsid w:val="00A630EF"/>
    <w:rsid w:val="00A64911"/>
    <w:rsid w:val="00A65A40"/>
    <w:rsid w:val="00A66046"/>
    <w:rsid w:val="00A66399"/>
    <w:rsid w:val="00A6758D"/>
    <w:rsid w:val="00A67A1E"/>
    <w:rsid w:val="00A70786"/>
    <w:rsid w:val="00A708A8"/>
    <w:rsid w:val="00A714BB"/>
    <w:rsid w:val="00A7232F"/>
    <w:rsid w:val="00A7389C"/>
    <w:rsid w:val="00A74FCB"/>
    <w:rsid w:val="00A809D3"/>
    <w:rsid w:val="00A80F92"/>
    <w:rsid w:val="00A81048"/>
    <w:rsid w:val="00A8137D"/>
    <w:rsid w:val="00A82994"/>
    <w:rsid w:val="00A82B92"/>
    <w:rsid w:val="00A83FCD"/>
    <w:rsid w:val="00A86CF3"/>
    <w:rsid w:val="00A875EE"/>
    <w:rsid w:val="00A9068B"/>
    <w:rsid w:val="00A91635"/>
    <w:rsid w:val="00A9207F"/>
    <w:rsid w:val="00A92986"/>
    <w:rsid w:val="00A93A22"/>
    <w:rsid w:val="00A96498"/>
    <w:rsid w:val="00A9659B"/>
    <w:rsid w:val="00A970BB"/>
    <w:rsid w:val="00AA01C6"/>
    <w:rsid w:val="00AA1F96"/>
    <w:rsid w:val="00AA21E1"/>
    <w:rsid w:val="00AA2212"/>
    <w:rsid w:val="00AA280E"/>
    <w:rsid w:val="00AA384C"/>
    <w:rsid w:val="00AA3D51"/>
    <w:rsid w:val="00AA474F"/>
    <w:rsid w:val="00AA49E9"/>
    <w:rsid w:val="00AA6C8A"/>
    <w:rsid w:val="00AB2592"/>
    <w:rsid w:val="00AB29F8"/>
    <w:rsid w:val="00AB439F"/>
    <w:rsid w:val="00AB4607"/>
    <w:rsid w:val="00AB4986"/>
    <w:rsid w:val="00AB61B7"/>
    <w:rsid w:val="00AB6735"/>
    <w:rsid w:val="00AB6D67"/>
    <w:rsid w:val="00AB7F10"/>
    <w:rsid w:val="00AB7FC4"/>
    <w:rsid w:val="00AC05D9"/>
    <w:rsid w:val="00AC0637"/>
    <w:rsid w:val="00AC0CFF"/>
    <w:rsid w:val="00AC36C3"/>
    <w:rsid w:val="00AD1B3E"/>
    <w:rsid w:val="00AD209A"/>
    <w:rsid w:val="00AD3A5A"/>
    <w:rsid w:val="00AD5113"/>
    <w:rsid w:val="00AD55CD"/>
    <w:rsid w:val="00AD5D7B"/>
    <w:rsid w:val="00AD6747"/>
    <w:rsid w:val="00AD68FA"/>
    <w:rsid w:val="00AD6CB1"/>
    <w:rsid w:val="00AD6E08"/>
    <w:rsid w:val="00AE1252"/>
    <w:rsid w:val="00AE139D"/>
    <w:rsid w:val="00AE1D02"/>
    <w:rsid w:val="00AE277A"/>
    <w:rsid w:val="00AE2817"/>
    <w:rsid w:val="00AF0720"/>
    <w:rsid w:val="00AF12FD"/>
    <w:rsid w:val="00AF238C"/>
    <w:rsid w:val="00AF585F"/>
    <w:rsid w:val="00AF58CB"/>
    <w:rsid w:val="00AF5FA4"/>
    <w:rsid w:val="00AF67C1"/>
    <w:rsid w:val="00B0007E"/>
    <w:rsid w:val="00B002B7"/>
    <w:rsid w:val="00B01099"/>
    <w:rsid w:val="00B01210"/>
    <w:rsid w:val="00B02E24"/>
    <w:rsid w:val="00B0440C"/>
    <w:rsid w:val="00B045AE"/>
    <w:rsid w:val="00B05062"/>
    <w:rsid w:val="00B05124"/>
    <w:rsid w:val="00B0665D"/>
    <w:rsid w:val="00B07C34"/>
    <w:rsid w:val="00B1027B"/>
    <w:rsid w:val="00B109B0"/>
    <w:rsid w:val="00B119F5"/>
    <w:rsid w:val="00B11FB3"/>
    <w:rsid w:val="00B13405"/>
    <w:rsid w:val="00B16767"/>
    <w:rsid w:val="00B178C7"/>
    <w:rsid w:val="00B17FD0"/>
    <w:rsid w:val="00B21654"/>
    <w:rsid w:val="00B22DE4"/>
    <w:rsid w:val="00B27D56"/>
    <w:rsid w:val="00B30ED4"/>
    <w:rsid w:val="00B3164F"/>
    <w:rsid w:val="00B320A1"/>
    <w:rsid w:val="00B332E9"/>
    <w:rsid w:val="00B34A47"/>
    <w:rsid w:val="00B34ACF"/>
    <w:rsid w:val="00B34EBF"/>
    <w:rsid w:val="00B3654C"/>
    <w:rsid w:val="00B41CE3"/>
    <w:rsid w:val="00B42B79"/>
    <w:rsid w:val="00B42CC3"/>
    <w:rsid w:val="00B44DF3"/>
    <w:rsid w:val="00B45D06"/>
    <w:rsid w:val="00B46711"/>
    <w:rsid w:val="00B470E7"/>
    <w:rsid w:val="00B47D4E"/>
    <w:rsid w:val="00B47FDD"/>
    <w:rsid w:val="00B510A3"/>
    <w:rsid w:val="00B528FD"/>
    <w:rsid w:val="00B53471"/>
    <w:rsid w:val="00B557A6"/>
    <w:rsid w:val="00B56504"/>
    <w:rsid w:val="00B565A2"/>
    <w:rsid w:val="00B56D79"/>
    <w:rsid w:val="00B60110"/>
    <w:rsid w:val="00B6120D"/>
    <w:rsid w:val="00B644AD"/>
    <w:rsid w:val="00B64C32"/>
    <w:rsid w:val="00B658C2"/>
    <w:rsid w:val="00B6669E"/>
    <w:rsid w:val="00B772C2"/>
    <w:rsid w:val="00B77854"/>
    <w:rsid w:val="00B90D7B"/>
    <w:rsid w:val="00B929DC"/>
    <w:rsid w:val="00B92A0E"/>
    <w:rsid w:val="00B94C21"/>
    <w:rsid w:val="00B9614F"/>
    <w:rsid w:val="00BA01F4"/>
    <w:rsid w:val="00BA0514"/>
    <w:rsid w:val="00BA4E6D"/>
    <w:rsid w:val="00BA4EE5"/>
    <w:rsid w:val="00BA7F14"/>
    <w:rsid w:val="00BB0DEA"/>
    <w:rsid w:val="00BB19CA"/>
    <w:rsid w:val="00BB1CDA"/>
    <w:rsid w:val="00BB225D"/>
    <w:rsid w:val="00BB26B3"/>
    <w:rsid w:val="00BB3DC8"/>
    <w:rsid w:val="00BB5EA8"/>
    <w:rsid w:val="00BC012E"/>
    <w:rsid w:val="00BC2822"/>
    <w:rsid w:val="00BC3D0F"/>
    <w:rsid w:val="00BD1D63"/>
    <w:rsid w:val="00BD1D7B"/>
    <w:rsid w:val="00BD3C70"/>
    <w:rsid w:val="00BD7043"/>
    <w:rsid w:val="00BD7982"/>
    <w:rsid w:val="00BD7E93"/>
    <w:rsid w:val="00BE01A0"/>
    <w:rsid w:val="00BE07CA"/>
    <w:rsid w:val="00BE35F6"/>
    <w:rsid w:val="00BE6202"/>
    <w:rsid w:val="00BE6D06"/>
    <w:rsid w:val="00BF2B97"/>
    <w:rsid w:val="00BF5784"/>
    <w:rsid w:val="00BF7647"/>
    <w:rsid w:val="00BF7784"/>
    <w:rsid w:val="00BF7787"/>
    <w:rsid w:val="00C01DA3"/>
    <w:rsid w:val="00C03B38"/>
    <w:rsid w:val="00C043FD"/>
    <w:rsid w:val="00C04915"/>
    <w:rsid w:val="00C04CF5"/>
    <w:rsid w:val="00C06214"/>
    <w:rsid w:val="00C06E0C"/>
    <w:rsid w:val="00C06E69"/>
    <w:rsid w:val="00C07023"/>
    <w:rsid w:val="00C0742C"/>
    <w:rsid w:val="00C07DB7"/>
    <w:rsid w:val="00C10747"/>
    <w:rsid w:val="00C10A5C"/>
    <w:rsid w:val="00C10BFF"/>
    <w:rsid w:val="00C11A49"/>
    <w:rsid w:val="00C124FD"/>
    <w:rsid w:val="00C13D73"/>
    <w:rsid w:val="00C14278"/>
    <w:rsid w:val="00C170E8"/>
    <w:rsid w:val="00C175D1"/>
    <w:rsid w:val="00C21A04"/>
    <w:rsid w:val="00C223D3"/>
    <w:rsid w:val="00C24392"/>
    <w:rsid w:val="00C25267"/>
    <w:rsid w:val="00C252CF"/>
    <w:rsid w:val="00C26599"/>
    <w:rsid w:val="00C27F16"/>
    <w:rsid w:val="00C30128"/>
    <w:rsid w:val="00C35ABF"/>
    <w:rsid w:val="00C4318D"/>
    <w:rsid w:val="00C4440A"/>
    <w:rsid w:val="00C44AA6"/>
    <w:rsid w:val="00C45B2F"/>
    <w:rsid w:val="00C46070"/>
    <w:rsid w:val="00C4623F"/>
    <w:rsid w:val="00C4768A"/>
    <w:rsid w:val="00C47A60"/>
    <w:rsid w:val="00C47B6B"/>
    <w:rsid w:val="00C500E7"/>
    <w:rsid w:val="00C50BA6"/>
    <w:rsid w:val="00C54D01"/>
    <w:rsid w:val="00C57D05"/>
    <w:rsid w:val="00C61A87"/>
    <w:rsid w:val="00C72876"/>
    <w:rsid w:val="00C76052"/>
    <w:rsid w:val="00C774FB"/>
    <w:rsid w:val="00C776CD"/>
    <w:rsid w:val="00C77A73"/>
    <w:rsid w:val="00C801BB"/>
    <w:rsid w:val="00C80BA3"/>
    <w:rsid w:val="00C82923"/>
    <w:rsid w:val="00C844BC"/>
    <w:rsid w:val="00C84A4F"/>
    <w:rsid w:val="00C84AF4"/>
    <w:rsid w:val="00C8514B"/>
    <w:rsid w:val="00C90D9F"/>
    <w:rsid w:val="00C924D2"/>
    <w:rsid w:val="00C92593"/>
    <w:rsid w:val="00C9269A"/>
    <w:rsid w:val="00C92784"/>
    <w:rsid w:val="00C938FD"/>
    <w:rsid w:val="00C93CC3"/>
    <w:rsid w:val="00C966EB"/>
    <w:rsid w:val="00C96BE5"/>
    <w:rsid w:val="00C97226"/>
    <w:rsid w:val="00CA0D18"/>
    <w:rsid w:val="00CA1500"/>
    <w:rsid w:val="00CA3B3D"/>
    <w:rsid w:val="00CA4016"/>
    <w:rsid w:val="00CA4F55"/>
    <w:rsid w:val="00CA5317"/>
    <w:rsid w:val="00CB54CA"/>
    <w:rsid w:val="00CB55BE"/>
    <w:rsid w:val="00CB5767"/>
    <w:rsid w:val="00CB789A"/>
    <w:rsid w:val="00CB7A89"/>
    <w:rsid w:val="00CC1E4B"/>
    <w:rsid w:val="00CC242D"/>
    <w:rsid w:val="00CC4417"/>
    <w:rsid w:val="00CC7285"/>
    <w:rsid w:val="00CD04F3"/>
    <w:rsid w:val="00CD0AF6"/>
    <w:rsid w:val="00CD15CA"/>
    <w:rsid w:val="00CD1B85"/>
    <w:rsid w:val="00CD1D23"/>
    <w:rsid w:val="00CD2B11"/>
    <w:rsid w:val="00CE0C47"/>
    <w:rsid w:val="00CE1CC9"/>
    <w:rsid w:val="00CE68CB"/>
    <w:rsid w:val="00CF1ADB"/>
    <w:rsid w:val="00CF1E2F"/>
    <w:rsid w:val="00CF2C79"/>
    <w:rsid w:val="00CF70C8"/>
    <w:rsid w:val="00CF7738"/>
    <w:rsid w:val="00D06BA6"/>
    <w:rsid w:val="00D079F9"/>
    <w:rsid w:val="00D116B2"/>
    <w:rsid w:val="00D12277"/>
    <w:rsid w:val="00D136CD"/>
    <w:rsid w:val="00D16405"/>
    <w:rsid w:val="00D17D4B"/>
    <w:rsid w:val="00D20CE2"/>
    <w:rsid w:val="00D2224A"/>
    <w:rsid w:val="00D22682"/>
    <w:rsid w:val="00D236B3"/>
    <w:rsid w:val="00D24615"/>
    <w:rsid w:val="00D24B59"/>
    <w:rsid w:val="00D24C26"/>
    <w:rsid w:val="00D2545E"/>
    <w:rsid w:val="00D25BF7"/>
    <w:rsid w:val="00D27B97"/>
    <w:rsid w:val="00D30310"/>
    <w:rsid w:val="00D367C5"/>
    <w:rsid w:val="00D36B20"/>
    <w:rsid w:val="00D373AE"/>
    <w:rsid w:val="00D37EE5"/>
    <w:rsid w:val="00D40EB7"/>
    <w:rsid w:val="00D41C04"/>
    <w:rsid w:val="00D41C4D"/>
    <w:rsid w:val="00D41F99"/>
    <w:rsid w:val="00D428A6"/>
    <w:rsid w:val="00D42BE2"/>
    <w:rsid w:val="00D45495"/>
    <w:rsid w:val="00D47602"/>
    <w:rsid w:val="00D5077C"/>
    <w:rsid w:val="00D5171B"/>
    <w:rsid w:val="00D517C1"/>
    <w:rsid w:val="00D53783"/>
    <w:rsid w:val="00D53FFE"/>
    <w:rsid w:val="00D54E88"/>
    <w:rsid w:val="00D552A5"/>
    <w:rsid w:val="00D566F1"/>
    <w:rsid w:val="00D57CEB"/>
    <w:rsid w:val="00D57FE9"/>
    <w:rsid w:val="00D620E3"/>
    <w:rsid w:val="00D63265"/>
    <w:rsid w:val="00D63BFB"/>
    <w:rsid w:val="00D65D6D"/>
    <w:rsid w:val="00D664C6"/>
    <w:rsid w:val="00D677FA"/>
    <w:rsid w:val="00D679AF"/>
    <w:rsid w:val="00D70DDF"/>
    <w:rsid w:val="00D71641"/>
    <w:rsid w:val="00D71905"/>
    <w:rsid w:val="00D720BC"/>
    <w:rsid w:val="00D73CA4"/>
    <w:rsid w:val="00D7576B"/>
    <w:rsid w:val="00D75A5D"/>
    <w:rsid w:val="00D76783"/>
    <w:rsid w:val="00D77618"/>
    <w:rsid w:val="00D7788F"/>
    <w:rsid w:val="00D77A9F"/>
    <w:rsid w:val="00D8077D"/>
    <w:rsid w:val="00D817D1"/>
    <w:rsid w:val="00D84A6C"/>
    <w:rsid w:val="00D9163B"/>
    <w:rsid w:val="00D92AE1"/>
    <w:rsid w:val="00D94D87"/>
    <w:rsid w:val="00D9554E"/>
    <w:rsid w:val="00DA1745"/>
    <w:rsid w:val="00DA1764"/>
    <w:rsid w:val="00DA3E1C"/>
    <w:rsid w:val="00DA4D5D"/>
    <w:rsid w:val="00DA6CEC"/>
    <w:rsid w:val="00DA7749"/>
    <w:rsid w:val="00DB18B7"/>
    <w:rsid w:val="00DB4119"/>
    <w:rsid w:val="00DB56B4"/>
    <w:rsid w:val="00DC306A"/>
    <w:rsid w:val="00DC35AD"/>
    <w:rsid w:val="00DC4095"/>
    <w:rsid w:val="00DC4959"/>
    <w:rsid w:val="00DC4F5A"/>
    <w:rsid w:val="00DC77E9"/>
    <w:rsid w:val="00DC7921"/>
    <w:rsid w:val="00DD10D0"/>
    <w:rsid w:val="00DD1828"/>
    <w:rsid w:val="00DD5F90"/>
    <w:rsid w:val="00DD651C"/>
    <w:rsid w:val="00DD6FCB"/>
    <w:rsid w:val="00DD78D5"/>
    <w:rsid w:val="00DD7E86"/>
    <w:rsid w:val="00DE0268"/>
    <w:rsid w:val="00DE0DCA"/>
    <w:rsid w:val="00DE25C8"/>
    <w:rsid w:val="00DE27BD"/>
    <w:rsid w:val="00DE40A9"/>
    <w:rsid w:val="00DE5656"/>
    <w:rsid w:val="00DE59AD"/>
    <w:rsid w:val="00DE5F97"/>
    <w:rsid w:val="00DE7590"/>
    <w:rsid w:val="00DE76CA"/>
    <w:rsid w:val="00DF0182"/>
    <w:rsid w:val="00DF0345"/>
    <w:rsid w:val="00DF0D4F"/>
    <w:rsid w:val="00DF129E"/>
    <w:rsid w:val="00DF23D4"/>
    <w:rsid w:val="00DF287E"/>
    <w:rsid w:val="00DF2A61"/>
    <w:rsid w:val="00DF66A1"/>
    <w:rsid w:val="00DF66FF"/>
    <w:rsid w:val="00DF703F"/>
    <w:rsid w:val="00DF7A3B"/>
    <w:rsid w:val="00DF7B05"/>
    <w:rsid w:val="00E0087B"/>
    <w:rsid w:val="00E029B6"/>
    <w:rsid w:val="00E02A25"/>
    <w:rsid w:val="00E049BA"/>
    <w:rsid w:val="00E072E1"/>
    <w:rsid w:val="00E10796"/>
    <w:rsid w:val="00E109F6"/>
    <w:rsid w:val="00E11414"/>
    <w:rsid w:val="00E1326D"/>
    <w:rsid w:val="00E134A2"/>
    <w:rsid w:val="00E17946"/>
    <w:rsid w:val="00E26694"/>
    <w:rsid w:val="00E2789D"/>
    <w:rsid w:val="00E27E2D"/>
    <w:rsid w:val="00E30A04"/>
    <w:rsid w:val="00E3102B"/>
    <w:rsid w:val="00E319D4"/>
    <w:rsid w:val="00E31D88"/>
    <w:rsid w:val="00E3302E"/>
    <w:rsid w:val="00E357FC"/>
    <w:rsid w:val="00E3593B"/>
    <w:rsid w:val="00E36BB3"/>
    <w:rsid w:val="00E40D41"/>
    <w:rsid w:val="00E417A0"/>
    <w:rsid w:val="00E4280C"/>
    <w:rsid w:val="00E43930"/>
    <w:rsid w:val="00E4591A"/>
    <w:rsid w:val="00E45D4D"/>
    <w:rsid w:val="00E46374"/>
    <w:rsid w:val="00E478B9"/>
    <w:rsid w:val="00E51F8C"/>
    <w:rsid w:val="00E55F0E"/>
    <w:rsid w:val="00E57B38"/>
    <w:rsid w:val="00E60B1B"/>
    <w:rsid w:val="00E62089"/>
    <w:rsid w:val="00E62F9B"/>
    <w:rsid w:val="00E641A2"/>
    <w:rsid w:val="00E6570D"/>
    <w:rsid w:val="00E65DF3"/>
    <w:rsid w:val="00E65E4C"/>
    <w:rsid w:val="00E65FF3"/>
    <w:rsid w:val="00E66D96"/>
    <w:rsid w:val="00E67635"/>
    <w:rsid w:val="00E70056"/>
    <w:rsid w:val="00E71574"/>
    <w:rsid w:val="00E72238"/>
    <w:rsid w:val="00E723AA"/>
    <w:rsid w:val="00E7245C"/>
    <w:rsid w:val="00E74EB3"/>
    <w:rsid w:val="00E76CB4"/>
    <w:rsid w:val="00E76DE1"/>
    <w:rsid w:val="00E77927"/>
    <w:rsid w:val="00E801FC"/>
    <w:rsid w:val="00E80AA3"/>
    <w:rsid w:val="00E80FC8"/>
    <w:rsid w:val="00E83A93"/>
    <w:rsid w:val="00E83F92"/>
    <w:rsid w:val="00E86359"/>
    <w:rsid w:val="00E86E51"/>
    <w:rsid w:val="00E8732A"/>
    <w:rsid w:val="00E93799"/>
    <w:rsid w:val="00E94F9B"/>
    <w:rsid w:val="00E96319"/>
    <w:rsid w:val="00E96A6F"/>
    <w:rsid w:val="00EA02C7"/>
    <w:rsid w:val="00EA11FF"/>
    <w:rsid w:val="00EA16A1"/>
    <w:rsid w:val="00EA26F1"/>
    <w:rsid w:val="00EA2E04"/>
    <w:rsid w:val="00EA49FA"/>
    <w:rsid w:val="00EB1AD5"/>
    <w:rsid w:val="00EB3D4A"/>
    <w:rsid w:val="00EB4137"/>
    <w:rsid w:val="00EB5F20"/>
    <w:rsid w:val="00EB6C3A"/>
    <w:rsid w:val="00EC0A83"/>
    <w:rsid w:val="00EC2CDF"/>
    <w:rsid w:val="00EC3385"/>
    <w:rsid w:val="00EC4495"/>
    <w:rsid w:val="00EC4A00"/>
    <w:rsid w:val="00EC569B"/>
    <w:rsid w:val="00EC599D"/>
    <w:rsid w:val="00EC6744"/>
    <w:rsid w:val="00EC69DF"/>
    <w:rsid w:val="00EC74B4"/>
    <w:rsid w:val="00EC7A6C"/>
    <w:rsid w:val="00ED6BAA"/>
    <w:rsid w:val="00ED6F77"/>
    <w:rsid w:val="00ED7A81"/>
    <w:rsid w:val="00EE0B21"/>
    <w:rsid w:val="00EE20E7"/>
    <w:rsid w:val="00EE2C12"/>
    <w:rsid w:val="00EE2CE1"/>
    <w:rsid w:val="00EE5BCE"/>
    <w:rsid w:val="00EE722A"/>
    <w:rsid w:val="00EE7341"/>
    <w:rsid w:val="00EE7FCD"/>
    <w:rsid w:val="00EF084E"/>
    <w:rsid w:val="00EF2299"/>
    <w:rsid w:val="00EF2540"/>
    <w:rsid w:val="00EF27B7"/>
    <w:rsid w:val="00EF5527"/>
    <w:rsid w:val="00EF6B47"/>
    <w:rsid w:val="00F013AF"/>
    <w:rsid w:val="00F0210C"/>
    <w:rsid w:val="00F03DA2"/>
    <w:rsid w:val="00F073BB"/>
    <w:rsid w:val="00F11FAC"/>
    <w:rsid w:val="00F159A2"/>
    <w:rsid w:val="00F15CCE"/>
    <w:rsid w:val="00F208FB"/>
    <w:rsid w:val="00F20B12"/>
    <w:rsid w:val="00F21A79"/>
    <w:rsid w:val="00F228A5"/>
    <w:rsid w:val="00F22BA9"/>
    <w:rsid w:val="00F26DDF"/>
    <w:rsid w:val="00F26DE9"/>
    <w:rsid w:val="00F26EFA"/>
    <w:rsid w:val="00F27361"/>
    <w:rsid w:val="00F277D9"/>
    <w:rsid w:val="00F313C7"/>
    <w:rsid w:val="00F33CDB"/>
    <w:rsid w:val="00F34723"/>
    <w:rsid w:val="00F34EAF"/>
    <w:rsid w:val="00F36332"/>
    <w:rsid w:val="00F407E8"/>
    <w:rsid w:val="00F409C7"/>
    <w:rsid w:val="00F414A2"/>
    <w:rsid w:val="00F4166A"/>
    <w:rsid w:val="00F42944"/>
    <w:rsid w:val="00F4480E"/>
    <w:rsid w:val="00F44D5E"/>
    <w:rsid w:val="00F4566E"/>
    <w:rsid w:val="00F461E7"/>
    <w:rsid w:val="00F47087"/>
    <w:rsid w:val="00F53F6A"/>
    <w:rsid w:val="00F54879"/>
    <w:rsid w:val="00F549A1"/>
    <w:rsid w:val="00F55E7A"/>
    <w:rsid w:val="00F55E7B"/>
    <w:rsid w:val="00F5702F"/>
    <w:rsid w:val="00F6022E"/>
    <w:rsid w:val="00F60947"/>
    <w:rsid w:val="00F628EA"/>
    <w:rsid w:val="00F64B6B"/>
    <w:rsid w:val="00F67011"/>
    <w:rsid w:val="00F67B8E"/>
    <w:rsid w:val="00F72E3A"/>
    <w:rsid w:val="00F74710"/>
    <w:rsid w:val="00F74C24"/>
    <w:rsid w:val="00F75E07"/>
    <w:rsid w:val="00F76AF7"/>
    <w:rsid w:val="00F82543"/>
    <w:rsid w:val="00F82FBA"/>
    <w:rsid w:val="00F839F8"/>
    <w:rsid w:val="00F85E19"/>
    <w:rsid w:val="00F868FA"/>
    <w:rsid w:val="00F8783A"/>
    <w:rsid w:val="00F908FB"/>
    <w:rsid w:val="00F911A0"/>
    <w:rsid w:val="00F91C11"/>
    <w:rsid w:val="00F93573"/>
    <w:rsid w:val="00F960F0"/>
    <w:rsid w:val="00F96F4F"/>
    <w:rsid w:val="00F9793C"/>
    <w:rsid w:val="00FA0FAC"/>
    <w:rsid w:val="00FA1DB0"/>
    <w:rsid w:val="00FB56F6"/>
    <w:rsid w:val="00FB6945"/>
    <w:rsid w:val="00FB6C99"/>
    <w:rsid w:val="00FB7A93"/>
    <w:rsid w:val="00FC0F26"/>
    <w:rsid w:val="00FC1A7B"/>
    <w:rsid w:val="00FC2190"/>
    <w:rsid w:val="00FC2E96"/>
    <w:rsid w:val="00FC75E5"/>
    <w:rsid w:val="00FD1370"/>
    <w:rsid w:val="00FD1DA3"/>
    <w:rsid w:val="00FD21D3"/>
    <w:rsid w:val="00FD6821"/>
    <w:rsid w:val="00FD7770"/>
    <w:rsid w:val="00FD7FEE"/>
    <w:rsid w:val="00FE11C5"/>
    <w:rsid w:val="00FE166A"/>
    <w:rsid w:val="00FE4148"/>
    <w:rsid w:val="00FE6B8C"/>
    <w:rsid w:val="00FF015D"/>
    <w:rsid w:val="00FF0647"/>
    <w:rsid w:val="00FF1DF1"/>
    <w:rsid w:val="00FF2479"/>
    <w:rsid w:val="00FF360C"/>
    <w:rsid w:val="00FF441B"/>
    <w:rsid w:val="00FF59E9"/>
    <w:rsid w:val="00FF5C9F"/>
    <w:rsid w:val="00FF724B"/>
    <w:rsid w:val="00FF7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tr-TR"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E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06E"/>
    <w:pPr>
      <w:tabs>
        <w:tab w:val="center" w:pos="4703"/>
        <w:tab w:val="right" w:pos="9406"/>
      </w:tabs>
    </w:pPr>
  </w:style>
  <w:style w:type="character" w:customStyle="1" w:styleId="stbilgiChar">
    <w:name w:val="Üstbilgi Char"/>
    <w:basedOn w:val="VarsaylanParagrafYazTipi"/>
    <w:link w:val="stbilgi"/>
    <w:uiPriority w:val="99"/>
    <w:rsid w:val="0007706E"/>
    <w:rPr>
      <w:lang w:val="en-US"/>
    </w:rPr>
  </w:style>
  <w:style w:type="paragraph" w:styleId="Altbilgi">
    <w:name w:val="footer"/>
    <w:basedOn w:val="Normal"/>
    <w:link w:val="AltbilgiChar"/>
    <w:uiPriority w:val="99"/>
    <w:semiHidden/>
    <w:unhideWhenUsed/>
    <w:rsid w:val="0007706E"/>
    <w:pPr>
      <w:tabs>
        <w:tab w:val="center" w:pos="4703"/>
        <w:tab w:val="right" w:pos="9406"/>
      </w:tabs>
    </w:pPr>
  </w:style>
  <w:style w:type="character" w:customStyle="1" w:styleId="AltbilgiChar">
    <w:name w:val="Altbilgi Char"/>
    <w:basedOn w:val="VarsaylanParagrafYazTipi"/>
    <w:link w:val="Altbilgi"/>
    <w:uiPriority w:val="99"/>
    <w:semiHidden/>
    <w:rsid w:val="0007706E"/>
    <w:rPr>
      <w:lang w:val="en-US"/>
    </w:rPr>
  </w:style>
  <w:style w:type="character" w:styleId="AklamaBavurusu">
    <w:name w:val="annotation reference"/>
    <w:basedOn w:val="VarsaylanParagrafYazTipi"/>
    <w:uiPriority w:val="99"/>
    <w:semiHidden/>
    <w:unhideWhenUsed/>
    <w:rsid w:val="007C6F05"/>
    <w:rPr>
      <w:sz w:val="16"/>
      <w:szCs w:val="16"/>
    </w:rPr>
  </w:style>
  <w:style w:type="paragraph" w:styleId="AklamaMetni">
    <w:name w:val="annotation text"/>
    <w:basedOn w:val="Normal"/>
    <w:link w:val="AklamaMetniChar"/>
    <w:uiPriority w:val="99"/>
    <w:semiHidden/>
    <w:unhideWhenUsed/>
    <w:rsid w:val="007C6F05"/>
    <w:rPr>
      <w:sz w:val="20"/>
      <w:szCs w:val="20"/>
    </w:rPr>
  </w:style>
  <w:style w:type="character" w:customStyle="1" w:styleId="AklamaMetniChar">
    <w:name w:val="Açıklama Metni Char"/>
    <w:basedOn w:val="VarsaylanParagrafYazTipi"/>
    <w:link w:val="AklamaMetni"/>
    <w:uiPriority w:val="99"/>
    <w:semiHidden/>
    <w:rsid w:val="007C6F05"/>
    <w:rPr>
      <w:sz w:val="20"/>
      <w:szCs w:val="20"/>
      <w:lang w:val="en-US"/>
    </w:rPr>
  </w:style>
  <w:style w:type="paragraph" w:styleId="AklamaKonusu">
    <w:name w:val="annotation subject"/>
    <w:basedOn w:val="AklamaMetni"/>
    <w:next w:val="AklamaMetni"/>
    <w:link w:val="AklamaKonusuChar"/>
    <w:uiPriority w:val="99"/>
    <w:semiHidden/>
    <w:unhideWhenUsed/>
    <w:rsid w:val="007C6F05"/>
    <w:rPr>
      <w:b/>
      <w:bCs/>
    </w:rPr>
  </w:style>
  <w:style w:type="character" w:customStyle="1" w:styleId="AklamaKonusuChar">
    <w:name w:val="Açıklama Konusu Char"/>
    <w:basedOn w:val="AklamaMetniChar"/>
    <w:link w:val="AklamaKonusu"/>
    <w:uiPriority w:val="99"/>
    <w:semiHidden/>
    <w:rsid w:val="007C6F05"/>
    <w:rPr>
      <w:b/>
      <w:bCs/>
      <w:sz w:val="20"/>
      <w:szCs w:val="20"/>
      <w:lang w:val="en-US"/>
    </w:rPr>
  </w:style>
  <w:style w:type="paragraph" w:styleId="BalonMetni">
    <w:name w:val="Balloon Text"/>
    <w:basedOn w:val="Normal"/>
    <w:link w:val="BalonMetniChar"/>
    <w:uiPriority w:val="99"/>
    <w:semiHidden/>
    <w:unhideWhenUsed/>
    <w:rsid w:val="007C6F05"/>
    <w:rPr>
      <w:rFonts w:ascii="Tahoma" w:hAnsi="Tahoma" w:cs="Tahoma"/>
      <w:sz w:val="16"/>
      <w:szCs w:val="16"/>
    </w:rPr>
  </w:style>
  <w:style w:type="character" w:customStyle="1" w:styleId="BalonMetniChar">
    <w:name w:val="Balon Metni Char"/>
    <w:basedOn w:val="VarsaylanParagrafYazTipi"/>
    <w:link w:val="BalonMetni"/>
    <w:uiPriority w:val="99"/>
    <w:semiHidden/>
    <w:rsid w:val="007C6F05"/>
    <w:rPr>
      <w:rFonts w:ascii="Tahoma" w:hAnsi="Tahoma" w:cs="Tahoma"/>
      <w:sz w:val="16"/>
      <w:szCs w:val="16"/>
      <w:lang w:val="en-US"/>
    </w:rPr>
  </w:style>
  <w:style w:type="paragraph" w:styleId="ListeParagraf">
    <w:name w:val="List Paragraph"/>
    <w:basedOn w:val="Normal"/>
    <w:uiPriority w:val="34"/>
    <w:qFormat/>
    <w:rsid w:val="009E1BA0"/>
    <w:pPr>
      <w:ind w:left="720"/>
      <w:contextualSpacing/>
    </w:pPr>
  </w:style>
  <w:style w:type="table" w:styleId="TabloKlavuzu">
    <w:name w:val="Table Grid"/>
    <w:basedOn w:val="NormalTablo"/>
    <w:uiPriority w:val="59"/>
    <w:rsid w:val="00AF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0283C"/>
    <w:rPr>
      <w:color w:val="0000FF"/>
      <w:u w:val="single"/>
    </w:rPr>
  </w:style>
  <w:style w:type="character" w:styleId="zlenenKpr">
    <w:name w:val="FollowedHyperlink"/>
    <w:basedOn w:val="VarsaylanParagrafYazTipi"/>
    <w:uiPriority w:val="99"/>
    <w:semiHidden/>
    <w:unhideWhenUsed/>
    <w:rsid w:val="00A028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tr-TR"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06E"/>
    <w:pPr>
      <w:tabs>
        <w:tab w:val="center" w:pos="4703"/>
        <w:tab w:val="right" w:pos="9406"/>
      </w:tabs>
    </w:pPr>
  </w:style>
  <w:style w:type="character" w:customStyle="1" w:styleId="HeaderChar">
    <w:name w:val="Header Char"/>
    <w:basedOn w:val="DefaultParagraphFont"/>
    <w:link w:val="Header"/>
    <w:uiPriority w:val="99"/>
    <w:rsid w:val="0007706E"/>
    <w:rPr>
      <w:lang w:val="en-US"/>
    </w:rPr>
  </w:style>
  <w:style w:type="paragraph" w:styleId="Footer">
    <w:name w:val="footer"/>
    <w:basedOn w:val="Normal"/>
    <w:link w:val="FooterChar"/>
    <w:uiPriority w:val="99"/>
    <w:semiHidden/>
    <w:unhideWhenUsed/>
    <w:rsid w:val="0007706E"/>
    <w:pPr>
      <w:tabs>
        <w:tab w:val="center" w:pos="4703"/>
        <w:tab w:val="right" w:pos="9406"/>
      </w:tabs>
    </w:pPr>
  </w:style>
  <w:style w:type="character" w:customStyle="1" w:styleId="FooterChar">
    <w:name w:val="Footer Char"/>
    <w:basedOn w:val="DefaultParagraphFont"/>
    <w:link w:val="Footer"/>
    <w:uiPriority w:val="99"/>
    <w:semiHidden/>
    <w:rsid w:val="0007706E"/>
    <w:rPr>
      <w:lang w:val="en-US"/>
    </w:rPr>
  </w:style>
  <w:style w:type="character" w:styleId="CommentReference">
    <w:name w:val="annotation reference"/>
    <w:basedOn w:val="DefaultParagraphFont"/>
    <w:uiPriority w:val="99"/>
    <w:semiHidden/>
    <w:unhideWhenUsed/>
    <w:rsid w:val="007C6F05"/>
    <w:rPr>
      <w:sz w:val="16"/>
      <w:szCs w:val="16"/>
    </w:rPr>
  </w:style>
  <w:style w:type="paragraph" w:styleId="CommentText">
    <w:name w:val="annotation text"/>
    <w:basedOn w:val="Normal"/>
    <w:link w:val="CommentTextChar"/>
    <w:uiPriority w:val="99"/>
    <w:semiHidden/>
    <w:unhideWhenUsed/>
    <w:rsid w:val="007C6F05"/>
    <w:rPr>
      <w:sz w:val="20"/>
      <w:szCs w:val="20"/>
    </w:rPr>
  </w:style>
  <w:style w:type="character" w:customStyle="1" w:styleId="CommentTextChar">
    <w:name w:val="Comment Text Char"/>
    <w:basedOn w:val="DefaultParagraphFont"/>
    <w:link w:val="CommentText"/>
    <w:uiPriority w:val="99"/>
    <w:semiHidden/>
    <w:rsid w:val="007C6F05"/>
    <w:rPr>
      <w:sz w:val="20"/>
      <w:szCs w:val="20"/>
      <w:lang w:val="en-US"/>
    </w:rPr>
  </w:style>
  <w:style w:type="paragraph" w:styleId="CommentSubject">
    <w:name w:val="annotation subject"/>
    <w:basedOn w:val="CommentText"/>
    <w:next w:val="CommentText"/>
    <w:link w:val="CommentSubjectChar"/>
    <w:uiPriority w:val="99"/>
    <w:semiHidden/>
    <w:unhideWhenUsed/>
    <w:rsid w:val="007C6F05"/>
    <w:rPr>
      <w:b/>
      <w:bCs/>
    </w:rPr>
  </w:style>
  <w:style w:type="character" w:customStyle="1" w:styleId="CommentSubjectChar">
    <w:name w:val="Comment Subject Char"/>
    <w:basedOn w:val="CommentTextChar"/>
    <w:link w:val="CommentSubject"/>
    <w:uiPriority w:val="99"/>
    <w:semiHidden/>
    <w:rsid w:val="007C6F05"/>
    <w:rPr>
      <w:b/>
      <w:bCs/>
      <w:sz w:val="20"/>
      <w:szCs w:val="20"/>
      <w:lang w:val="en-US"/>
    </w:rPr>
  </w:style>
  <w:style w:type="paragraph" w:styleId="BalloonText">
    <w:name w:val="Balloon Text"/>
    <w:basedOn w:val="Normal"/>
    <w:link w:val="BalloonTextChar"/>
    <w:uiPriority w:val="99"/>
    <w:semiHidden/>
    <w:unhideWhenUsed/>
    <w:rsid w:val="007C6F05"/>
    <w:rPr>
      <w:rFonts w:ascii="Tahoma" w:hAnsi="Tahoma" w:cs="Tahoma"/>
      <w:sz w:val="16"/>
      <w:szCs w:val="16"/>
    </w:rPr>
  </w:style>
  <w:style w:type="character" w:customStyle="1" w:styleId="BalloonTextChar">
    <w:name w:val="Balloon Text Char"/>
    <w:basedOn w:val="DefaultParagraphFont"/>
    <w:link w:val="BalloonText"/>
    <w:uiPriority w:val="99"/>
    <w:semiHidden/>
    <w:rsid w:val="007C6F05"/>
    <w:rPr>
      <w:rFonts w:ascii="Tahoma" w:hAnsi="Tahoma" w:cs="Tahoma"/>
      <w:sz w:val="16"/>
      <w:szCs w:val="16"/>
      <w:lang w:val="en-US"/>
    </w:rPr>
  </w:style>
  <w:style w:type="paragraph" w:styleId="ListParagraph">
    <w:name w:val="List Paragraph"/>
    <w:basedOn w:val="Normal"/>
    <w:uiPriority w:val="34"/>
    <w:qFormat/>
    <w:rsid w:val="009E1BA0"/>
    <w:pPr>
      <w:ind w:left="720"/>
      <w:contextualSpacing/>
    </w:pPr>
  </w:style>
  <w:style w:type="table" w:styleId="TableGrid">
    <w:name w:val="Table Grid"/>
    <w:basedOn w:val="TableNormal"/>
    <w:uiPriority w:val="59"/>
    <w:rsid w:val="00AF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83C"/>
    <w:rPr>
      <w:color w:val="0000FF"/>
      <w:u w:val="single"/>
    </w:rPr>
  </w:style>
  <w:style w:type="character" w:styleId="FollowedHyperlink">
    <w:name w:val="FollowedHyperlink"/>
    <w:basedOn w:val="DefaultParagraphFont"/>
    <w:uiPriority w:val="99"/>
    <w:semiHidden/>
    <w:unhideWhenUsed/>
    <w:rsid w:val="00A028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3405473">
      <w:bodyDiv w:val="1"/>
      <w:marLeft w:val="0"/>
      <w:marRight w:val="0"/>
      <w:marTop w:val="0"/>
      <w:marBottom w:val="0"/>
      <w:divBdr>
        <w:top w:val="none" w:sz="0" w:space="0" w:color="auto"/>
        <w:left w:val="none" w:sz="0" w:space="0" w:color="auto"/>
        <w:bottom w:val="none" w:sz="0" w:space="0" w:color="auto"/>
        <w:right w:val="none" w:sz="0" w:space="0" w:color="auto"/>
      </w:divBdr>
      <w:divsChild>
        <w:div w:id="336158584">
          <w:marLeft w:val="0"/>
          <w:marRight w:val="0"/>
          <w:marTop w:val="0"/>
          <w:marBottom w:val="0"/>
          <w:divBdr>
            <w:top w:val="none" w:sz="0" w:space="0" w:color="auto"/>
            <w:left w:val="none" w:sz="0" w:space="0" w:color="auto"/>
            <w:bottom w:val="none" w:sz="0" w:space="0" w:color="auto"/>
            <w:right w:val="none" w:sz="0" w:space="0" w:color="auto"/>
          </w:divBdr>
        </w:div>
      </w:divsChild>
    </w:div>
    <w:div w:id="2078161920">
      <w:bodyDiv w:val="1"/>
      <w:marLeft w:val="0"/>
      <w:marRight w:val="0"/>
      <w:marTop w:val="0"/>
      <w:marBottom w:val="0"/>
      <w:divBdr>
        <w:top w:val="none" w:sz="0" w:space="0" w:color="auto"/>
        <w:left w:val="none" w:sz="0" w:space="0" w:color="auto"/>
        <w:bottom w:val="none" w:sz="0" w:space="0" w:color="auto"/>
        <w:right w:val="none" w:sz="0" w:space="0" w:color="auto"/>
      </w:divBdr>
      <w:divsChild>
        <w:div w:id="3729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sychclassics.yorku.ca/Mi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981A2-E78C-4C07-B764-CFEFCE98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18</Pages>
  <Words>4088</Words>
  <Characters>23306</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257</cp:revision>
  <dcterms:created xsi:type="dcterms:W3CDTF">2013-03-25T16:23:00Z</dcterms:created>
  <dcterms:modified xsi:type="dcterms:W3CDTF">2013-04-19T22:35:00Z</dcterms:modified>
</cp:coreProperties>
</file>