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1A" w:rsidRPr="0009657F" w:rsidRDefault="00C21B1A"/>
    <w:p w:rsidR="00FC0AFD" w:rsidRPr="0009657F" w:rsidRDefault="00FC0AFD"/>
    <w:p w:rsidR="00FC0AFD" w:rsidRPr="0009657F" w:rsidRDefault="00FC0AFD"/>
    <w:p w:rsidR="00FC0AFD" w:rsidRPr="0009657F" w:rsidRDefault="00FC0AFD"/>
    <w:p w:rsidR="00FC0AFD" w:rsidRPr="0009657F" w:rsidRDefault="00FC0AFD"/>
    <w:p w:rsidR="00FC0AFD" w:rsidRPr="0009657F" w:rsidRDefault="00FC0AFD"/>
    <w:p w:rsidR="00FC0AFD" w:rsidRPr="0009657F" w:rsidRDefault="00FC0AFD"/>
    <w:p w:rsidR="00FC0AFD" w:rsidRPr="0009657F" w:rsidRDefault="00FC0AFD"/>
    <w:p w:rsidR="00FC0AFD" w:rsidRPr="0009657F" w:rsidRDefault="00FC0AFD"/>
    <w:p w:rsidR="00FC0AFD" w:rsidRPr="0009657F" w:rsidRDefault="00FC0AFD"/>
    <w:p w:rsidR="006F764B" w:rsidRPr="0009657F" w:rsidRDefault="00BD1ED0" w:rsidP="00C61A04">
      <w:pPr>
        <w:spacing w:after="0" w:line="480" w:lineRule="auto"/>
        <w:jc w:val="center"/>
      </w:pPr>
      <w:r>
        <w:t>Student Teaching Presence and Its Relation to Social and Cognitive Presence</w:t>
      </w:r>
      <w:r w:rsidR="00562E2E">
        <w:t>s</w:t>
      </w:r>
    </w:p>
    <w:p w:rsidR="00C61A04" w:rsidRPr="0009657F" w:rsidRDefault="00C61A04" w:rsidP="00C61A04">
      <w:pPr>
        <w:spacing w:after="0" w:line="480" w:lineRule="auto"/>
        <w:jc w:val="center"/>
      </w:pPr>
      <w:proofErr w:type="spellStart"/>
      <w:r w:rsidRPr="0009657F">
        <w:t>Kadir</w:t>
      </w:r>
      <w:proofErr w:type="spellEnd"/>
      <w:r w:rsidRPr="0009657F">
        <w:t xml:space="preserve"> </w:t>
      </w:r>
      <w:proofErr w:type="spellStart"/>
      <w:r w:rsidRPr="0009657F">
        <w:t>Kozan</w:t>
      </w:r>
      <w:proofErr w:type="spellEnd"/>
    </w:p>
    <w:p w:rsidR="00C61A04" w:rsidRPr="0009657F" w:rsidRDefault="00C61A04" w:rsidP="00C61A04">
      <w:pPr>
        <w:spacing w:after="0" w:line="480" w:lineRule="auto"/>
        <w:jc w:val="center"/>
      </w:pPr>
      <w:r w:rsidRPr="0009657F">
        <w:t>Purdue University</w:t>
      </w:r>
    </w:p>
    <w:p w:rsidR="00C61A04" w:rsidRPr="0009657F" w:rsidRDefault="00C61A04" w:rsidP="006F764B">
      <w:pPr>
        <w:jc w:val="center"/>
      </w:pPr>
    </w:p>
    <w:p w:rsidR="00FC0AFD" w:rsidRPr="0009657F" w:rsidRDefault="00FC0AFD"/>
    <w:p w:rsidR="00B54C15" w:rsidRDefault="00B54C15"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DC11B3" w:rsidRDefault="00DC11B3" w:rsidP="00161374">
      <w:pPr>
        <w:tabs>
          <w:tab w:val="left" w:pos="5820"/>
        </w:tabs>
        <w:jc w:val="center"/>
      </w:pPr>
    </w:p>
    <w:p w:rsidR="002B4C6D" w:rsidRPr="0009657F" w:rsidRDefault="00055648" w:rsidP="00161374">
      <w:pPr>
        <w:tabs>
          <w:tab w:val="left" w:pos="5820"/>
        </w:tabs>
        <w:jc w:val="center"/>
      </w:pPr>
      <w:r w:rsidRPr="0009657F">
        <w:lastRenderedPageBreak/>
        <w:t>Abstract</w:t>
      </w:r>
    </w:p>
    <w:p w:rsidR="00C344A1" w:rsidRPr="00EB5C08" w:rsidRDefault="00EB5C08" w:rsidP="00E77BDD">
      <w:pPr>
        <w:tabs>
          <w:tab w:val="left" w:pos="5820"/>
        </w:tabs>
        <w:spacing w:after="0" w:line="480" w:lineRule="auto"/>
      </w:pPr>
      <w:r>
        <w:t xml:space="preserve">This study basically examined the interrelationships between and among </w:t>
      </w:r>
      <w:r w:rsidR="00D31F19">
        <w:t xml:space="preserve">student </w:t>
      </w:r>
      <w:r>
        <w:t>teaching presence, social presence, and cognitive presence</w:t>
      </w:r>
      <w:r w:rsidR="002C6982">
        <w:t xml:space="preserve"> as well as different instructor participation or response styles in asynchronous online discussions</w:t>
      </w:r>
      <w:r w:rsidR="00DB1A6E">
        <w:t xml:space="preserve"> across three graduate-level online courses</w:t>
      </w:r>
      <w:r w:rsidR="002C6982">
        <w:t>.</w:t>
      </w:r>
      <w:r w:rsidR="00DB1A6E">
        <w:t xml:space="preserve"> </w:t>
      </w:r>
      <w:r w:rsidR="00867D51">
        <w:t xml:space="preserve">Partially in line with previous research, the results revealed that </w:t>
      </w:r>
      <w:r w:rsidR="00D31F19">
        <w:t xml:space="preserve">cognitive presence can be </w:t>
      </w:r>
      <w:r w:rsidR="00DB04B0">
        <w:t xml:space="preserve">a </w:t>
      </w:r>
      <w:r w:rsidR="00D31F19">
        <w:t xml:space="preserve">powerful mediating variable for the relationship between student teaching presence and social presence. </w:t>
      </w:r>
      <w:r w:rsidR="00C978FD">
        <w:t xml:space="preserve">On the other hand, the relationship between </w:t>
      </w:r>
      <w:r w:rsidR="00AE68D1">
        <w:t xml:space="preserve">student teaching presence and cognitive presence as well as the one between social presence and cognitive presence seem to be independent of the third presence to a certain extent. </w:t>
      </w:r>
      <w:r w:rsidR="00D77695">
        <w:t xml:space="preserve">Overall, these suggest that cognitive presence </w:t>
      </w:r>
      <w:r w:rsidR="002C11A7">
        <w:t xml:space="preserve">might be </w:t>
      </w:r>
      <w:r w:rsidR="00D77695">
        <w:t>play</w:t>
      </w:r>
      <w:r w:rsidR="002C11A7">
        <w:t>ing</w:t>
      </w:r>
      <w:r w:rsidR="00D77695">
        <w:t xml:space="preserve"> a </w:t>
      </w:r>
      <w:r w:rsidR="002C11A7">
        <w:t>larger role in construction and maintenance of an educational community of inquiry in online learning environments.</w:t>
      </w:r>
      <w:r w:rsidR="00D77695">
        <w:t xml:space="preserve"> </w:t>
      </w:r>
    </w:p>
    <w:p w:rsidR="00C344A1" w:rsidRDefault="00C344A1" w:rsidP="00967E61">
      <w:pPr>
        <w:tabs>
          <w:tab w:val="left" w:pos="851"/>
        </w:tabs>
        <w:ind w:left="851"/>
      </w:pPr>
      <w:r w:rsidRPr="00EB5C08">
        <w:rPr>
          <w:i/>
        </w:rPr>
        <w:t xml:space="preserve">Keywords: </w:t>
      </w:r>
      <w:r w:rsidR="00DC1DEE" w:rsidRPr="00EB5C08">
        <w:t>presence</w:t>
      </w:r>
      <w:r w:rsidR="000B6BAE" w:rsidRPr="00EB5C08">
        <w:t xml:space="preserve">, </w:t>
      </w:r>
      <w:r w:rsidR="00DC1DEE" w:rsidRPr="00EB5C08">
        <w:t>community of inquiry</w:t>
      </w:r>
      <w:r w:rsidR="000B6BAE" w:rsidRPr="00EB5C08">
        <w:t xml:space="preserve">, </w:t>
      </w:r>
      <w:r w:rsidR="00EB5C08">
        <w:t>satisfaction, instructor participation</w:t>
      </w:r>
    </w:p>
    <w:p w:rsidR="00967E61" w:rsidRPr="0009657F" w:rsidRDefault="00967E61" w:rsidP="00967E61">
      <w:pPr>
        <w:tabs>
          <w:tab w:val="left" w:pos="851"/>
        </w:tabs>
        <w:ind w:left="851"/>
      </w:pPr>
      <w:r>
        <w:rPr>
          <w:i/>
        </w:rPr>
        <w:t xml:space="preserve">                   </w:t>
      </w:r>
    </w:p>
    <w:p w:rsidR="00967E61" w:rsidRPr="00967E61" w:rsidRDefault="00967E61" w:rsidP="00967E61">
      <w:pPr>
        <w:tabs>
          <w:tab w:val="left" w:pos="851"/>
        </w:tabs>
        <w:ind w:left="851"/>
      </w:pPr>
    </w:p>
    <w:p w:rsidR="00C344A1" w:rsidRPr="0009657F" w:rsidRDefault="00C344A1" w:rsidP="00161374">
      <w:pPr>
        <w:tabs>
          <w:tab w:val="left" w:pos="5820"/>
        </w:tabs>
        <w:jc w:val="center"/>
      </w:pPr>
    </w:p>
    <w:p w:rsidR="00C344A1" w:rsidRPr="0009657F" w:rsidRDefault="00C344A1" w:rsidP="00161374">
      <w:pPr>
        <w:tabs>
          <w:tab w:val="left" w:pos="5820"/>
        </w:tabs>
        <w:jc w:val="center"/>
      </w:pPr>
    </w:p>
    <w:p w:rsidR="00C344A1" w:rsidRDefault="00C344A1" w:rsidP="00161374">
      <w:pPr>
        <w:tabs>
          <w:tab w:val="left" w:pos="5820"/>
        </w:tabs>
        <w:jc w:val="center"/>
      </w:pPr>
    </w:p>
    <w:p w:rsidR="0098640A" w:rsidRDefault="0098640A" w:rsidP="00161374">
      <w:pPr>
        <w:tabs>
          <w:tab w:val="left" w:pos="5820"/>
        </w:tabs>
        <w:jc w:val="center"/>
      </w:pPr>
    </w:p>
    <w:p w:rsidR="0098640A" w:rsidRDefault="0098640A" w:rsidP="00161374">
      <w:pPr>
        <w:tabs>
          <w:tab w:val="left" w:pos="5820"/>
        </w:tabs>
        <w:jc w:val="center"/>
      </w:pPr>
    </w:p>
    <w:p w:rsidR="0098640A" w:rsidRDefault="0098640A" w:rsidP="00161374">
      <w:pPr>
        <w:tabs>
          <w:tab w:val="left" w:pos="5820"/>
        </w:tabs>
        <w:jc w:val="center"/>
      </w:pPr>
    </w:p>
    <w:p w:rsidR="0098640A" w:rsidRPr="0009657F" w:rsidRDefault="0098640A" w:rsidP="00161374">
      <w:pPr>
        <w:tabs>
          <w:tab w:val="left" w:pos="5820"/>
        </w:tabs>
        <w:jc w:val="center"/>
      </w:pPr>
    </w:p>
    <w:p w:rsidR="00C344A1" w:rsidRPr="0009657F" w:rsidRDefault="00C344A1" w:rsidP="00161374">
      <w:pPr>
        <w:tabs>
          <w:tab w:val="left" w:pos="5820"/>
        </w:tabs>
        <w:jc w:val="center"/>
      </w:pPr>
    </w:p>
    <w:p w:rsidR="00C344A1" w:rsidRDefault="00C344A1" w:rsidP="00161374">
      <w:pPr>
        <w:tabs>
          <w:tab w:val="left" w:pos="5820"/>
        </w:tabs>
        <w:jc w:val="center"/>
      </w:pPr>
    </w:p>
    <w:p w:rsidR="003D6052" w:rsidRDefault="003D6052" w:rsidP="000F66CC">
      <w:pPr>
        <w:tabs>
          <w:tab w:val="left" w:pos="5820"/>
        </w:tabs>
      </w:pPr>
    </w:p>
    <w:p w:rsidR="00FE7465" w:rsidRDefault="00FE7465" w:rsidP="000F66CC">
      <w:pPr>
        <w:tabs>
          <w:tab w:val="left" w:pos="5820"/>
        </w:tabs>
      </w:pPr>
    </w:p>
    <w:p w:rsidR="00FE7465" w:rsidRPr="0009657F" w:rsidRDefault="00FE7465" w:rsidP="000F66CC">
      <w:pPr>
        <w:tabs>
          <w:tab w:val="left" w:pos="5820"/>
        </w:tabs>
      </w:pPr>
    </w:p>
    <w:p w:rsidR="001155A5" w:rsidRPr="0009657F" w:rsidRDefault="001155A5" w:rsidP="001155A5">
      <w:pPr>
        <w:spacing w:after="0" w:line="480" w:lineRule="auto"/>
        <w:jc w:val="center"/>
      </w:pPr>
      <w:r>
        <w:lastRenderedPageBreak/>
        <w:t>Student Teaching Presence and Its Relation to Social and Cognitive Presences</w:t>
      </w:r>
    </w:p>
    <w:p w:rsidR="00D9285F" w:rsidRDefault="00027A00" w:rsidP="00950F9B">
      <w:pPr>
        <w:tabs>
          <w:tab w:val="left" w:pos="0"/>
        </w:tabs>
        <w:spacing w:after="0" w:line="480" w:lineRule="auto"/>
        <w:ind w:firstLine="720"/>
      </w:pPr>
      <w:r w:rsidRPr="00027A00">
        <w:t xml:space="preserve">Lloyd, Byrne and McCoy (2012) pinpointed that there has been an increasing demand and need for online courses in higher education. Similarly, according to Allen and Seaman (2013), more than 6.7 million students took at least one online course, and 69.1 % of chief academic leaders reported that online education crucially relate to institutional long term strategy in 2012. Similar to the previous reports (e.g., Allen &amp; Seaman, 2006, 2007, 2010, 2011), the 2013 report </w:t>
      </w:r>
      <w:r w:rsidR="005C5F64">
        <w:t xml:space="preserve">also </w:t>
      </w:r>
      <w:r w:rsidRPr="00027A00">
        <w:t>highlighted (a) the continuously growing number of online higher education students in the United States recently; (b) that the growth rate of online enrollment increase (9.3%) has been considerably more than that of overall higher education (-0,1%)</w:t>
      </w:r>
      <w:r w:rsidR="005C5F64">
        <w:t>.</w:t>
      </w:r>
      <w:r w:rsidRPr="00027A00">
        <w:t xml:space="preserve"> </w:t>
      </w:r>
    </w:p>
    <w:p w:rsidR="00950F9B" w:rsidRDefault="00950F9B" w:rsidP="00950F9B">
      <w:pPr>
        <w:tabs>
          <w:tab w:val="left" w:pos="0"/>
        </w:tabs>
        <w:spacing w:after="0" w:line="480" w:lineRule="auto"/>
        <w:ind w:firstLine="720"/>
      </w:pPr>
      <w:r>
        <w:t xml:space="preserve">However, </w:t>
      </w:r>
      <w:r w:rsidRPr="00587BCF">
        <w:t>attrition</w:t>
      </w:r>
      <w:r>
        <w:t xml:space="preserve"> or dropout rates</w:t>
      </w:r>
      <w:r w:rsidRPr="00587BCF">
        <w:t xml:space="preserve"> ha</w:t>
      </w:r>
      <w:r>
        <w:t>ve</w:t>
      </w:r>
      <w:r w:rsidRPr="00587BCF">
        <w:t xml:space="preserve"> been a </w:t>
      </w:r>
      <w:r>
        <w:t xml:space="preserve">bigger </w:t>
      </w:r>
      <w:r w:rsidRPr="00587BCF">
        <w:t>problem for distance</w:t>
      </w:r>
      <w:r>
        <w:t xml:space="preserve"> or online</w:t>
      </w:r>
      <w:r w:rsidRPr="00587BCF">
        <w:t xml:space="preserve"> education compared to institutionalized </w:t>
      </w:r>
      <w:r>
        <w:t xml:space="preserve">or on-campus </w:t>
      </w:r>
      <w:r w:rsidRPr="00587BCF">
        <w:t xml:space="preserve">higher education (Bernard, </w:t>
      </w:r>
      <w:proofErr w:type="spellStart"/>
      <w:r w:rsidRPr="00587BCF">
        <w:t>Abrami</w:t>
      </w:r>
      <w:proofErr w:type="spellEnd"/>
      <w:r w:rsidRPr="00587BCF">
        <w:t xml:space="preserve">, Lou, &amp; </w:t>
      </w:r>
      <w:proofErr w:type="spellStart"/>
      <w:r w:rsidRPr="00587BCF">
        <w:t>Borokhovski</w:t>
      </w:r>
      <w:proofErr w:type="spellEnd"/>
      <w:r w:rsidRPr="00587BCF">
        <w:t xml:space="preserve">, 2004; </w:t>
      </w:r>
      <w:r>
        <w:t xml:space="preserve">Boston, Diaz, Gibson, Ice, Richardson, &amp; Swan, 2009; </w:t>
      </w:r>
      <w:r w:rsidRPr="00587BCF">
        <w:t>Carr, 2000;</w:t>
      </w:r>
      <w:r>
        <w:t xml:space="preserve"> Ice, Gibson, Boston, &amp; </w:t>
      </w:r>
      <w:proofErr w:type="spellStart"/>
      <w:r>
        <w:t>Becher</w:t>
      </w:r>
      <w:proofErr w:type="spellEnd"/>
      <w:r>
        <w:t xml:space="preserve">, 2011; </w:t>
      </w:r>
      <w:r w:rsidRPr="00587BCF">
        <w:t>Parker, 2003; Wilson, 2008).</w:t>
      </w:r>
      <w:r>
        <w:t xml:space="preserve"> </w:t>
      </w:r>
      <w:r w:rsidR="00D9285F" w:rsidRPr="00587BCF">
        <w:t xml:space="preserve">Given </w:t>
      </w:r>
      <w:r>
        <w:t xml:space="preserve">both the high </w:t>
      </w:r>
      <w:r w:rsidR="00D9285F" w:rsidRPr="00587BCF">
        <w:t xml:space="preserve">growth </w:t>
      </w:r>
      <w:r>
        <w:t>and attrition rates</w:t>
      </w:r>
      <w:r w:rsidR="00D9285F" w:rsidRPr="00587BCF">
        <w:t xml:space="preserve">, it is reasonable to assume that efforts to encourage student retention </w:t>
      </w:r>
      <w:r w:rsidR="00D9285F">
        <w:t>or</w:t>
      </w:r>
      <w:r w:rsidR="00D9285F" w:rsidRPr="00587BCF">
        <w:t xml:space="preserve"> persistence are important.</w:t>
      </w:r>
      <w:r w:rsidR="005C5F64">
        <w:t xml:space="preserve"> </w:t>
      </w:r>
      <w:r w:rsidR="00D9285F" w:rsidRPr="00587BCF">
        <w:t xml:space="preserve">Previous research pointed to some factors that </w:t>
      </w:r>
      <w:r w:rsidR="00D9285F">
        <w:t xml:space="preserve">positively </w:t>
      </w:r>
      <w:r w:rsidR="00D9285F" w:rsidRPr="00587BCF">
        <w:t xml:space="preserve">affect student persistence ranging from </w:t>
      </w:r>
      <w:r w:rsidR="00D9285F">
        <w:t>quality interaction and feedback</w:t>
      </w:r>
      <w:r w:rsidR="00D9285F" w:rsidRPr="00587BCF">
        <w:t xml:space="preserve"> (</w:t>
      </w:r>
      <w:proofErr w:type="spellStart"/>
      <w:r w:rsidR="00D9285F" w:rsidRPr="00587BCF">
        <w:t>Ivankova</w:t>
      </w:r>
      <w:proofErr w:type="spellEnd"/>
      <w:r w:rsidR="00D9285F" w:rsidRPr="00587BCF">
        <w:t xml:space="preserve"> &amp; Stick, 2007</w:t>
      </w:r>
      <w:r w:rsidR="00D9285F">
        <w:t xml:space="preserve">; </w:t>
      </w:r>
      <w:proofErr w:type="spellStart"/>
      <w:r w:rsidR="00D9285F">
        <w:t>Ojokheta</w:t>
      </w:r>
      <w:proofErr w:type="spellEnd"/>
      <w:r w:rsidR="00D9285F">
        <w:t>, 2010</w:t>
      </w:r>
      <w:r w:rsidR="00D9285F" w:rsidRPr="00587BCF">
        <w:t>) to relevance of the content and learner satisfaction (</w:t>
      </w:r>
      <w:proofErr w:type="spellStart"/>
      <w:r w:rsidR="00D9285F" w:rsidRPr="00587BCF">
        <w:t>Ivankova</w:t>
      </w:r>
      <w:proofErr w:type="spellEnd"/>
      <w:r w:rsidR="00D9285F" w:rsidRPr="00587BCF">
        <w:t xml:space="preserve"> &amp; Stick, 2007; </w:t>
      </w:r>
      <w:r w:rsidR="00D9285F" w:rsidRPr="00C638D5">
        <w:t>Levy, 2007</w:t>
      </w:r>
      <w:r w:rsidR="00D9285F" w:rsidRPr="00587BCF">
        <w:t xml:space="preserve">; </w:t>
      </w:r>
      <w:proofErr w:type="spellStart"/>
      <w:r w:rsidR="00D9285F" w:rsidRPr="001A01EC">
        <w:t>Müller</w:t>
      </w:r>
      <w:proofErr w:type="spellEnd"/>
      <w:r w:rsidR="00D9285F" w:rsidRPr="001A01EC">
        <w:t>, 2008</w:t>
      </w:r>
      <w:r w:rsidR="00D9285F" w:rsidRPr="00587BCF">
        <w:t xml:space="preserve">; </w:t>
      </w:r>
      <w:r w:rsidR="00D9285F" w:rsidRPr="007802F1">
        <w:t xml:space="preserve">Park &amp; </w:t>
      </w:r>
      <w:proofErr w:type="spellStart"/>
      <w:r w:rsidR="00D9285F" w:rsidRPr="007802F1">
        <w:t>Choi</w:t>
      </w:r>
      <w:proofErr w:type="spellEnd"/>
      <w:r w:rsidR="00D9285F" w:rsidRPr="007802F1">
        <w:t>, 2009</w:t>
      </w:r>
      <w:r w:rsidR="00D9285F" w:rsidRPr="00587BCF">
        <w:t>).</w:t>
      </w:r>
      <w:r w:rsidR="00D9285F">
        <w:t xml:space="preserve"> </w:t>
      </w:r>
    </w:p>
    <w:p w:rsidR="00DC5774" w:rsidRDefault="00D70DF3" w:rsidP="00593C1A">
      <w:pPr>
        <w:tabs>
          <w:tab w:val="left" w:pos="0"/>
        </w:tabs>
        <w:spacing w:after="0" w:line="480" w:lineRule="auto"/>
        <w:ind w:firstLine="720"/>
      </w:pPr>
      <w:r>
        <w:t xml:space="preserve">More specifically, Levy (2007) asserted that learner satisfaction is a deterministic factor for student persistence in online learning, and that persistent students have a higher level of satisfaction with online learning. </w:t>
      </w:r>
      <w:r w:rsidR="00DC5774">
        <w:t>Additionally,</w:t>
      </w:r>
      <w:r>
        <w:t xml:space="preserve"> </w:t>
      </w:r>
      <w:proofErr w:type="spellStart"/>
      <w:r w:rsidRPr="001513CB">
        <w:t>Fredericksen</w:t>
      </w:r>
      <w:proofErr w:type="spellEnd"/>
      <w:r w:rsidRPr="001513CB">
        <w:t xml:space="preserve">, Pickett, Shea, </w:t>
      </w:r>
      <w:proofErr w:type="spellStart"/>
      <w:r w:rsidRPr="001513CB">
        <w:t>Pelz</w:t>
      </w:r>
      <w:proofErr w:type="spellEnd"/>
      <w:r w:rsidRPr="001513CB">
        <w:t xml:space="preserve"> and Swan (2000)</w:t>
      </w:r>
      <w:r>
        <w:t xml:space="preserve"> showed that higher learner satisfaction is closely associable with higher levels of perceived learning. Similarly, </w:t>
      </w:r>
      <w:r w:rsidRPr="00FE7F52">
        <w:t>Richardson and Swan (2003)</w:t>
      </w:r>
      <w:r>
        <w:t xml:space="preserve"> found positive correlations between students` </w:t>
      </w:r>
      <w:r w:rsidR="00A43DC5">
        <w:t xml:space="preserve">level of perceived learning, and their </w:t>
      </w:r>
      <w:r>
        <w:t xml:space="preserve">satisfaction with </w:t>
      </w:r>
      <w:r w:rsidR="00A43DC5">
        <w:t xml:space="preserve">the </w:t>
      </w:r>
      <w:r>
        <w:t>instructor</w:t>
      </w:r>
      <w:r w:rsidR="00A43DC5">
        <w:t>.</w:t>
      </w:r>
      <w:r>
        <w:t xml:space="preserve"> Additionally, </w:t>
      </w:r>
      <w:proofErr w:type="spellStart"/>
      <w:r>
        <w:t>Ojokheta</w:t>
      </w:r>
      <w:proofErr w:type="spellEnd"/>
      <w:r>
        <w:t xml:space="preserve"> (2010) claimed that instructor feedback directly impacts students` </w:t>
      </w:r>
      <w:r>
        <w:lastRenderedPageBreak/>
        <w:t xml:space="preserve">perception of the content, and that feedback calibrates learners` success in finishing online courses. </w:t>
      </w:r>
      <w:r w:rsidR="006654EE">
        <w:t xml:space="preserve">Consequently, instructor participation could be a boundary factor for student satisfaction, as well as retention and success in an online course. </w:t>
      </w:r>
    </w:p>
    <w:p w:rsidR="00D70DF3" w:rsidRDefault="00D70DF3" w:rsidP="00532FDB">
      <w:pPr>
        <w:tabs>
          <w:tab w:val="left" w:pos="0"/>
        </w:tabs>
        <w:spacing w:after="0" w:line="480" w:lineRule="auto"/>
        <w:ind w:firstLine="720"/>
      </w:pPr>
      <w:r>
        <w:t xml:space="preserve">How exactly instructor participation relates to learner satisfaction in online education warrants further research. Such a research attempt needs to </w:t>
      </w:r>
      <w:proofErr w:type="spellStart"/>
      <w:r>
        <w:t>operationalize</w:t>
      </w:r>
      <w:proofErr w:type="spellEnd"/>
      <w:r>
        <w:t xml:space="preserve"> instructor participation in order for it to be measured in a similar fashion to learner satisfaction. Teaching presence component of Community of Inquiry (</w:t>
      </w:r>
      <w:proofErr w:type="spellStart"/>
      <w:r>
        <w:t>CoI</w:t>
      </w:r>
      <w:proofErr w:type="spellEnd"/>
      <w:r>
        <w:t>) Framework (</w:t>
      </w:r>
      <w:r w:rsidRPr="006A6C08">
        <w:t>Garrison, 2008; Garrison &amp; Anderson, 2007; Garrison, Anderson, &amp; Archer, 2000, 2001</w:t>
      </w:r>
      <w:r>
        <w:t xml:space="preserve">, 2010) that is described as the design and social processes in order to enhance </w:t>
      </w:r>
      <w:proofErr w:type="gramStart"/>
      <w:r>
        <w:t>learning</w:t>
      </w:r>
      <w:proofErr w:type="gramEnd"/>
      <w:r>
        <w:t xml:space="preserve"> (</w:t>
      </w:r>
      <w:r w:rsidRPr="006A6C08">
        <w:t>Garrison et al., 2000</w:t>
      </w:r>
      <w:r>
        <w:t>) would be one way to go. After all, there is evidence showing that teaching presence significantly determines learners` satisfaction and perceived learning as well as their sense of community (</w:t>
      </w:r>
      <w:r w:rsidR="00886E72">
        <w:t xml:space="preserve">e.g., </w:t>
      </w:r>
      <w:proofErr w:type="spellStart"/>
      <w:r>
        <w:t>Akyol</w:t>
      </w:r>
      <w:proofErr w:type="spellEnd"/>
      <w:r>
        <w:t xml:space="preserve"> &amp;Garrison, 2008; </w:t>
      </w:r>
      <w:proofErr w:type="spellStart"/>
      <w:r>
        <w:t>Arbaugh</w:t>
      </w:r>
      <w:proofErr w:type="spellEnd"/>
      <w:r>
        <w:t>, 2008).</w:t>
      </w:r>
    </w:p>
    <w:p w:rsidR="00407686" w:rsidRDefault="006B796C" w:rsidP="00407686">
      <w:pPr>
        <w:tabs>
          <w:tab w:val="left" w:pos="0"/>
        </w:tabs>
        <w:spacing w:after="0" w:line="480" w:lineRule="auto"/>
        <w:ind w:firstLine="720"/>
      </w:pPr>
      <w:r>
        <w:t xml:space="preserve">The </w:t>
      </w:r>
      <w:proofErr w:type="spellStart"/>
      <w:r w:rsidR="00D70DF3">
        <w:t>CoI</w:t>
      </w:r>
      <w:proofErr w:type="spellEnd"/>
      <w:r w:rsidR="00D70DF3">
        <w:t xml:space="preserve"> Framework </w:t>
      </w:r>
      <w:r>
        <w:t xml:space="preserve">also </w:t>
      </w:r>
      <w:r w:rsidR="00D70DF3">
        <w:t>incorporates social presence, associating</w:t>
      </w:r>
      <w:r w:rsidR="00D70DF3" w:rsidRPr="006A6C08">
        <w:t xml:space="preserve"> oneself with </w:t>
      </w:r>
      <w:r w:rsidR="00D70DF3">
        <w:t xml:space="preserve">other members of </w:t>
      </w:r>
      <w:r w:rsidR="00D70DF3" w:rsidRPr="006A6C08">
        <w:t>the learning community through purposef</w:t>
      </w:r>
      <w:r w:rsidR="00D70DF3">
        <w:t>ul interaction (Garrison, 2008), and cognitive presence, engaging in learning through thoughtful reflection and discourse (Garrison et al., 2000). Previous research showed that these are highly correlated (</w:t>
      </w:r>
      <w:proofErr w:type="spellStart"/>
      <w:r w:rsidR="00D70DF3">
        <w:t>Akyol</w:t>
      </w:r>
      <w:proofErr w:type="spellEnd"/>
      <w:r w:rsidR="00D70DF3">
        <w:t xml:space="preserve"> &amp; Garrison, 2008; Garrison, Cleveland-Innes, Fung, 2010), and that they are significantly related to learner satisfaction and perceived learning except that there is a lack of significant relation between social presence and perceived learning (</w:t>
      </w:r>
      <w:proofErr w:type="spellStart"/>
      <w:r w:rsidR="00D70DF3">
        <w:t>Akyol</w:t>
      </w:r>
      <w:proofErr w:type="spellEnd"/>
      <w:r w:rsidR="00D70DF3">
        <w:t xml:space="preserve"> &amp; Garrison, 2008).</w:t>
      </w:r>
      <w:r w:rsidR="00FC7D7D">
        <w:t xml:space="preserve"> </w:t>
      </w:r>
      <w:r w:rsidR="00D70DF3">
        <w:t>Consequently,</w:t>
      </w:r>
      <w:r w:rsidR="009638A3">
        <w:t xml:space="preserve"> of particular interest for the present study is to test the extent to which</w:t>
      </w:r>
      <w:r w:rsidR="00E27D3E">
        <w:t xml:space="preserve"> instructor participation or teaching presence affects</w:t>
      </w:r>
      <w:r w:rsidR="009638A3">
        <w:t xml:space="preserve"> learner satisfaction in online education while controlling for any possible effects of social presence and cognitive presence. Secondly, the paper focuses on </w:t>
      </w:r>
      <w:r w:rsidR="009E7B7B">
        <w:t xml:space="preserve">the effect of the way instructor participates in online discussion on learners` motivation and engagement levels </w:t>
      </w:r>
      <w:r w:rsidR="0037668D">
        <w:t>while controlling for self-effi</w:t>
      </w:r>
      <w:r w:rsidR="00A166A0">
        <w:t>c</w:t>
      </w:r>
      <w:r w:rsidR="0037668D">
        <w:t>acy.</w:t>
      </w:r>
      <w:r w:rsidR="00D70DF3">
        <w:tab/>
        <w:t xml:space="preserve">In what follows, the paper first presents the theoretical background of the study. The </w:t>
      </w:r>
      <w:r w:rsidR="00D70DF3">
        <w:lastRenderedPageBreak/>
        <w:t xml:space="preserve">methods and procedures were presented in the third section. The fourth section provides results followed by the </w:t>
      </w:r>
      <w:r w:rsidR="00876369">
        <w:t>fifth</w:t>
      </w:r>
      <w:r w:rsidR="00D70DF3">
        <w:t xml:space="preserve"> section focusing on discussion</w:t>
      </w:r>
      <w:r w:rsidR="00876369">
        <w:t xml:space="preserve">. A </w:t>
      </w:r>
      <w:r w:rsidR="00D70DF3">
        <w:t>conclusions</w:t>
      </w:r>
      <w:r w:rsidR="00876369">
        <w:t xml:space="preserve"> section follows all these</w:t>
      </w:r>
      <w:r w:rsidR="00D70DF3">
        <w:t>.</w:t>
      </w:r>
    </w:p>
    <w:p w:rsidR="00407686" w:rsidRPr="006F4798" w:rsidRDefault="00407686" w:rsidP="00407686">
      <w:pPr>
        <w:tabs>
          <w:tab w:val="left" w:pos="0"/>
        </w:tabs>
        <w:spacing w:after="0" w:line="480" w:lineRule="auto"/>
        <w:ind w:firstLine="720"/>
        <w:jc w:val="center"/>
        <w:rPr>
          <w:b/>
        </w:rPr>
      </w:pPr>
      <w:r w:rsidRPr="006F4798">
        <w:rPr>
          <w:b/>
        </w:rPr>
        <w:t>Teaching Styles</w:t>
      </w:r>
    </w:p>
    <w:p w:rsidR="00E84D10" w:rsidRDefault="00407686" w:rsidP="008E1576">
      <w:pPr>
        <w:tabs>
          <w:tab w:val="left" w:pos="0"/>
        </w:tabs>
        <w:spacing w:after="0" w:line="480" w:lineRule="auto"/>
        <w:ind w:firstLine="720"/>
      </w:pPr>
      <w:r>
        <w:t xml:space="preserve">Arguing that teaching styles and learning styles are different entities no matter how complementary they are, Gayle (1994) stated that “Teaching styles evinces a certain predictability which is ensured by an internal syntax and coherence distinguishable from the purely accidental and deriving its direction from the person exhibiting the style.” (p. 9). As long as this holds true, it is reasonable to claim that teachers` teaching styles emanate from or at least get affected by their own characteristics including but maybe not limited to their beliefs, values and the like to a certain extent. Support for such a claim seems to come from Fischer and Fischer (1979) who argued that the word style “refers to a pervasive quality in the behavior of an individual, </w:t>
      </w:r>
      <w:r w:rsidRPr="00301FC6">
        <w:rPr>
          <w:i/>
        </w:rPr>
        <w:t>a quality</w:t>
      </w:r>
      <w:r>
        <w:rPr>
          <w:i/>
        </w:rPr>
        <w:t xml:space="preserve"> that persists though the content may change.</w:t>
      </w:r>
      <w:r w:rsidRPr="00301FC6">
        <w:t>”</w:t>
      </w:r>
      <w:r>
        <w:t xml:space="preserve"> (p. 245). Such possible connections between teachers` personalities and their teaching style urge them to be aware of themselves, examine themselves carefully and determine a style that can belong to the type of person that they would like to be while teaching.</w:t>
      </w:r>
    </w:p>
    <w:p w:rsidR="00E84D10" w:rsidRDefault="00407686" w:rsidP="00E84D10">
      <w:pPr>
        <w:tabs>
          <w:tab w:val="left" w:pos="0"/>
        </w:tabs>
        <w:spacing w:after="0" w:line="480" w:lineRule="auto"/>
        <w:ind w:firstLine="720"/>
      </w:pPr>
      <w:r>
        <w:t>According to Fischer and Fischer (1979)</w:t>
      </w:r>
      <w:r w:rsidR="00543C12">
        <w:t>,</w:t>
      </w:r>
      <w:r>
        <w:t xml:space="preserve"> teaching styles range from </w:t>
      </w:r>
      <w:r w:rsidR="00D52240">
        <w:t xml:space="preserve">task oriented to emotional which refers to emotionally being involved in teaching as well as rationally. </w:t>
      </w:r>
      <w:r w:rsidR="008E1576">
        <w:t xml:space="preserve">The last emotional category is interesting in that it appears to require teachers to be emotionally involved in their profession. This emotional involvement might be triggered by teachers` personalities too in order for it to be genuine. In this regard, </w:t>
      </w:r>
      <w:proofErr w:type="spellStart"/>
      <w:r w:rsidR="008E1576">
        <w:t>Eide</w:t>
      </w:r>
      <w:proofErr w:type="spellEnd"/>
      <w:r w:rsidR="008E1576">
        <w:t xml:space="preserve"> and McCarthy (1995) asserted that the main task is to establish supporting learning environments that encourage imagination, motivation and risk-taking on the part of the learners so that they can appreciate learning, themselves and all stake-holders of the learning process. Additionally, due to possible individual differences among the learners in terms of what motivates and interests </w:t>
      </w:r>
      <w:r w:rsidR="008E1576">
        <w:lastRenderedPageBreak/>
        <w:t xml:space="preserve">them, </w:t>
      </w:r>
      <w:proofErr w:type="spellStart"/>
      <w:r w:rsidR="008E1576">
        <w:t>Eide</w:t>
      </w:r>
      <w:proofErr w:type="spellEnd"/>
      <w:r w:rsidR="008E1576">
        <w:t xml:space="preserve"> and McCarthy (1995) further claimed that teachers have to adapt different teaching approaches instead of sticking to just one.</w:t>
      </w:r>
    </w:p>
    <w:p w:rsidR="00E84D10" w:rsidRDefault="00E84D10" w:rsidP="00E84D10">
      <w:pPr>
        <w:tabs>
          <w:tab w:val="left" w:pos="0"/>
        </w:tabs>
        <w:spacing w:after="0" w:line="480" w:lineRule="auto"/>
        <w:ind w:firstLine="720"/>
      </w:pPr>
      <w:r>
        <w:t>The assumption that teachers need to make use of a variety of styles depending on the profile of learners in a given learning situation implies that teachers need to be flexible in terms of how they want to teach, which may need to be independent of their personality characteristics to some extent. After all, there might be many roles to take over for teachers even in a single learning environment. Assuming that teachers need to be comfortable with their teaching roles in the long term (</w:t>
      </w:r>
      <w:proofErr w:type="spellStart"/>
      <w:r>
        <w:t>Grasha</w:t>
      </w:r>
      <w:proofErr w:type="spellEnd"/>
      <w:r>
        <w:t xml:space="preserve">, 1994), the challenge seems to bridging the gap between what a teacher really wants to be while teaching partly depending on her or his personality and on the needs of learners having different desires, motivations and the like. </w:t>
      </w:r>
    </w:p>
    <w:p w:rsidR="000A35D7" w:rsidRDefault="00543C12" w:rsidP="000A35D7">
      <w:pPr>
        <w:tabs>
          <w:tab w:val="left" w:pos="0"/>
        </w:tabs>
        <w:spacing w:after="0" w:line="480" w:lineRule="auto"/>
        <w:ind w:firstLine="720"/>
      </w:pPr>
      <w:proofErr w:type="spellStart"/>
      <w:r w:rsidRPr="00D52D24">
        <w:t>Walczyk</w:t>
      </w:r>
      <w:proofErr w:type="spellEnd"/>
      <w:r w:rsidRPr="00D52D24">
        <w:t xml:space="preserve"> and Ramsey (2003)</w:t>
      </w:r>
      <w:r>
        <w:t xml:space="preserve"> contended that</w:t>
      </w:r>
      <w:r w:rsidRPr="00D52D24">
        <w:t xml:space="preserve"> it is</w:t>
      </w:r>
      <w:r>
        <w:t xml:space="preserve"> the teachers who make use of different sorts of teaching styles or methods that can create a student-centered learning environment thus fostering learning. This way, teachers may be able to achieve what </w:t>
      </w:r>
      <w:proofErr w:type="spellStart"/>
      <w:r>
        <w:t>Brophy</w:t>
      </w:r>
      <w:proofErr w:type="spellEnd"/>
      <w:r>
        <w:t xml:space="preserve"> (1986) expected them to do. Specifically speaking, </w:t>
      </w:r>
      <w:proofErr w:type="spellStart"/>
      <w:r>
        <w:t>Brophy</w:t>
      </w:r>
      <w:proofErr w:type="spellEnd"/>
      <w:r>
        <w:t xml:space="preserve"> (1986) contended that teachers are capable of making a difference in their students` learning based on the effectiveness of their teaching style</w:t>
      </w:r>
      <w:r w:rsidR="00912614">
        <w:t xml:space="preserve">. Further, </w:t>
      </w:r>
      <w:proofErr w:type="spellStart"/>
      <w:r w:rsidR="00912614">
        <w:t>Volkman</w:t>
      </w:r>
      <w:proofErr w:type="spellEnd"/>
      <w:r w:rsidR="00912614">
        <w:t xml:space="preserve"> and </w:t>
      </w:r>
      <w:proofErr w:type="spellStart"/>
      <w:r w:rsidR="00912614">
        <w:t>Zgagacz</w:t>
      </w:r>
      <w:proofErr w:type="spellEnd"/>
      <w:r w:rsidR="00912614">
        <w:t xml:space="preserve"> (2004) argued for developing a teaching identity. Given that teachers may be in continuous need of changing their styles, such an identity may not be static though. Moreover, it seems that such an identity should be in line with both teachers personal characteristics and flexible enough in order to speak to their students` different ways of learning.</w:t>
      </w:r>
    </w:p>
    <w:p w:rsidR="001929EE" w:rsidRDefault="000A35D7" w:rsidP="001929EE">
      <w:pPr>
        <w:tabs>
          <w:tab w:val="left" w:pos="0"/>
        </w:tabs>
        <w:spacing w:after="0" w:line="480" w:lineRule="auto"/>
        <w:ind w:firstLine="720"/>
      </w:pPr>
      <w:r>
        <w:t xml:space="preserve">These seem to align with what students expect from their teachers as well. McCabe (1995) revealed that they want their teachers to go beyond purely transferring information by inspiring them to learn the content. Achieving this appears to trigger and enrich student attitude towards the content area thereby increasing their level of motivation too (Myers &amp; </w:t>
      </w:r>
      <w:proofErr w:type="spellStart"/>
      <w:r>
        <w:t>Fouts</w:t>
      </w:r>
      <w:proofErr w:type="spellEnd"/>
      <w:r>
        <w:t xml:space="preserve">, 1992). Further, Myers and </w:t>
      </w:r>
      <w:proofErr w:type="spellStart"/>
      <w:r>
        <w:t>Fouts</w:t>
      </w:r>
      <w:proofErr w:type="spellEnd"/>
      <w:r>
        <w:t xml:space="preserve"> (1992) diagnosed available teacher support, being </w:t>
      </w:r>
      <w:r>
        <w:lastRenderedPageBreak/>
        <w:t>organized and using a variety of different teaching techniques to be factors that positively affect students` attitudes.</w:t>
      </w:r>
    </w:p>
    <w:p w:rsidR="001929EE" w:rsidRDefault="001929EE" w:rsidP="001929EE">
      <w:pPr>
        <w:tabs>
          <w:tab w:val="left" w:pos="0"/>
        </w:tabs>
        <w:spacing w:after="0" w:line="480" w:lineRule="auto"/>
        <w:ind w:firstLine="720"/>
      </w:pPr>
      <w:r>
        <w:t>As a result, it seems that teachers are in a sharp need of implementing a variety of teaching styles based on the content to teach, their personality, and especially on individual differences among the students. The pure reason is that such a flexible and effective approach might contribute a lot to student satisfaction which might in turn foster meaningful learning due to increased teaching presence</w:t>
      </w:r>
      <w:r w:rsidR="00D45F8C">
        <w:t xml:space="preserve"> in relation to social and cognitive presences. </w:t>
      </w:r>
      <w:r>
        <w:t xml:space="preserve">The </w:t>
      </w:r>
      <w:r w:rsidR="00D45F8C">
        <w:t xml:space="preserve">following section </w:t>
      </w:r>
      <w:r w:rsidR="00216E7B">
        <w:t>displays insights into these factors.</w:t>
      </w:r>
    </w:p>
    <w:p w:rsidR="008B680A" w:rsidRDefault="008B680A" w:rsidP="008B680A">
      <w:pPr>
        <w:tabs>
          <w:tab w:val="left" w:pos="709"/>
          <w:tab w:val="left" w:pos="851"/>
        </w:tabs>
        <w:spacing w:after="0" w:line="480" w:lineRule="auto"/>
        <w:jc w:val="center"/>
        <w:rPr>
          <w:b/>
        </w:rPr>
      </w:pPr>
      <w:r>
        <w:rPr>
          <w:b/>
        </w:rPr>
        <w:t xml:space="preserve">Community of Inquiry Framework </w:t>
      </w:r>
    </w:p>
    <w:p w:rsidR="008B680A" w:rsidRDefault="008B680A" w:rsidP="00C71C2B">
      <w:pPr>
        <w:tabs>
          <w:tab w:val="left" w:pos="709"/>
          <w:tab w:val="left" w:pos="851"/>
        </w:tabs>
        <w:spacing w:after="0" w:line="480" w:lineRule="auto"/>
      </w:pPr>
      <w:r>
        <w:rPr>
          <w:b/>
        </w:rPr>
        <w:tab/>
      </w:r>
      <w:r>
        <w:t>The community of inquiry (</w:t>
      </w:r>
      <w:proofErr w:type="spellStart"/>
      <w:r>
        <w:t>CoI</w:t>
      </w:r>
      <w:proofErr w:type="spellEnd"/>
      <w:r>
        <w:t xml:space="preserve">) framework </w:t>
      </w:r>
      <w:r w:rsidR="008B2A7D">
        <w:t>consists of</w:t>
      </w:r>
      <w:r>
        <w:t xml:space="preserve"> social, cognitive and teaching presence</w:t>
      </w:r>
      <w:r w:rsidR="00271869">
        <w:t>s</w:t>
      </w:r>
      <w:r>
        <w:t xml:space="preserve"> (Garrison et al., 2000). </w:t>
      </w:r>
      <w:r w:rsidR="00271869">
        <w:t>The basic tenet of this framework is that</w:t>
      </w:r>
      <w:r>
        <w:t xml:space="preserve"> meaningful learning </w:t>
      </w:r>
      <w:r w:rsidR="00271869">
        <w:t>is a byproduct of</w:t>
      </w:r>
      <w:r>
        <w:t xml:space="preserve"> a community of </w:t>
      </w:r>
      <w:r w:rsidR="00271869">
        <w:t xml:space="preserve">inquiry of </w:t>
      </w:r>
      <w:r>
        <w:t xml:space="preserve">learners. In </w:t>
      </w:r>
      <w:r w:rsidR="00271869">
        <w:t>this regard</w:t>
      </w:r>
      <w:r>
        <w:t xml:space="preserve">, inquiry </w:t>
      </w:r>
      <w:r w:rsidR="00271869">
        <w:t xml:space="preserve">is </w:t>
      </w:r>
      <w:r>
        <w:t>students` question</w:t>
      </w:r>
      <w:r w:rsidR="00271869">
        <w:t xml:space="preserve">ing of </w:t>
      </w:r>
      <w:r>
        <w:t xml:space="preserve">learning issues to which </w:t>
      </w:r>
      <w:r w:rsidR="00271869">
        <w:t>there is not an available answer</w:t>
      </w:r>
      <w:r>
        <w:t xml:space="preserve"> (Redmond, 2011, p. 36). </w:t>
      </w:r>
      <w:r w:rsidR="00C71C2B">
        <w:t>This seems to align with</w:t>
      </w:r>
      <w:r>
        <w:t xml:space="preserve"> </w:t>
      </w:r>
      <w:r w:rsidR="00C71C2B">
        <w:t xml:space="preserve">the construct of </w:t>
      </w:r>
      <w:r>
        <w:t xml:space="preserve">learning communities </w:t>
      </w:r>
      <w:r w:rsidR="00C71C2B">
        <w:t>defined</w:t>
      </w:r>
      <w:r>
        <w:t xml:space="preserve"> by Cross (1998) as “groups of people engaged in intellectual interaction for the purpose of learning.” (p. 4)</w:t>
      </w:r>
      <w:r w:rsidR="00C71C2B">
        <w:t xml:space="preserve">. Additionally, </w:t>
      </w:r>
      <w:r>
        <w:t xml:space="preserve">Garrison et al. (2010) </w:t>
      </w:r>
      <w:r w:rsidR="00C71C2B">
        <w:t xml:space="preserve">stated </w:t>
      </w:r>
      <w:r>
        <w:t xml:space="preserve">that the </w:t>
      </w:r>
      <w:proofErr w:type="spellStart"/>
      <w:r>
        <w:t>CoI</w:t>
      </w:r>
      <w:proofErr w:type="spellEnd"/>
      <w:r>
        <w:t xml:space="preserve"> framework </w:t>
      </w:r>
      <w:r w:rsidR="00C71C2B">
        <w:t>stems from</w:t>
      </w:r>
      <w:r>
        <w:t xml:space="preserve"> asynchronou</w:t>
      </w:r>
      <w:r w:rsidR="00C71C2B">
        <w:t>s, text-based group discussions situated in computerized higher education learning environments, which makes it useful for the purposes of the present study.</w:t>
      </w:r>
      <w:r>
        <w:t xml:space="preserve"> </w:t>
      </w:r>
      <w:r w:rsidR="009103D3">
        <w:t xml:space="preserve">Of special concern for the present study is teaching presence since </w:t>
      </w:r>
      <w:r w:rsidR="008C11FE">
        <w:t>it seems to relate to instructor participation in online discussions more directly.</w:t>
      </w:r>
    </w:p>
    <w:p w:rsidR="009103D3" w:rsidRDefault="009103D3" w:rsidP="009103D3">
      <w:pPr>
        <w:tabs>
          <w:tab w:val="left" w:pos="709"/>
          <w:tab w:val="left" w:pos="851"/>
        </w:tabs>
        <w:spacing w:after="0" w:line="480" w:lineRule="auto"/>
      </w:pPr>
      <w:r>
        <w:tab/>
      </w:r>
      <w:proofErr w:type="gramStart"/>
      <w:r>
        <w:rPr>
          <w:b/>
        </w:rPr>
        <w:t>Teaching presence.</w:t>
      </w:r>
      <w:proofErr w:type="gramEnd"/>
      <w:r>
        <w:rPr>
          <w:b/>
        </w:rPr>
        <w:t xml:space="preserve"> </w:t>
      </w:r>
      <w:r w:rsidR="003E4761">
        <w:rPr>
          <w:b/>
        </w:rPr>
        <w:t xml:space="preserve"> </w:t>
      </w:r>
      <w:r w:rsidR="003E4761">
        <w:t xml:space="preserve">According to </w:t>
      </w:r>
      <w:r>
        <w:t>Garrison et al. (2000)</w:t>
      </w:r>
      <w:r w:rsidR="003E4761">
        <w:t>,</w:t>
      </w:r>
      <w:r>
        <w:t xml:space="preserve"> </w:t>
      </w:r>
      <w:r w:rsidR="003E4761">
        <w:t>student</w:t>
      </w:r>
      <w:r>
        <w:t xml:space="preserve"> interaction with</w:t>
      </w:r>
      <w:r w:rsidR="00A662EA">
        <w:t xml:space="preserve"> learning content and environment is vulnerable to the effects of teaching presence in that it functions as a guiding power.</w:t>
      </w:r>
      <w:r w:rsidR="009B34F1">
        <w:t xml:space="preserve"> Garrison et al. (2000) defined </w:t>
      </w:r>
      <w:r>
        <w:t xml:space="preserve">teaching presence </w:t>
      </w:r>
      <w:r w:rsidR="009B34F1">
        <w:t>as</w:t>
      </w:r>
      <w:r>
        <w:t xml:space="preserve"> design</w:t>
      </w:r>
      <w:r w:rsidR="009B34F1">
        <w:t>ing and facilitating online learning environments</w:t>
      </w:r>
      <w:r>
        <w:t xml:space="preserve">. Anderson, </w:t>
      </w:r>
      <w:proofErr w:type="spellStart"/>
      <w:r>
        <w:t>Rourke</w:t>
      </w:r>
      <w:proofErr w:type="spellEnd"/>
      <w:r>
        <w:t xml:space="preserve">, Garrison, and Archer (2001) </w:t>
      </w:r>
      <w:r w:rsidR="009B34F1">
        <w:t>listed the three components of teaching presence</w:t>
      </w:r>
      <w:r w:rsidR="00BA2655">
        <w:t xml:space="preserve"> as follows</w:t>
      </w:r>
      <w:r w:rsidR="009B34F1">
        <w:t>:</w:t>
      </w:r>
      <w:r>
        <w:t xml:space="preserve"> (a) instructional design </w:t>
      </w:r>
      <w:r>
        <w:lastRenderedPageBreak/>
        <w:t xml:space="preserve">and organization; (b) facilitating discourse; (c) direct instruction. Garrison and </w:t>
      </w:r>
      <w:proofErr w:type="spellStart"/>
      <w:r>
        <w:t>Arbaugh</w:t>
      </w:r>
      <w:proofErr w:type="spellEnd"/>
      <w:r>
        <w:t xml:space="preserve"> (2007) </w:t>
      </w:r>
      <w:r w:rsidR="00BA2655">
        <w:t>contended</w:t>
      </w:r>
      <w:r>
        <w:t xml:space="preserve"> that</w:t>
      </w:r>
      <w:r w:rsidR="00BA2655">
        <w:t xml:space="preserve"> teaching presence is deterministic of not only a sense of community but also both learner satisfaction and perceived learning.</w:t>
      </w:r>
      <w:r>
        <w:t xml:space="preserve"> </w:t>
      </w:r>
    </w:p>
    <w:p w:rsidR="009103D3" w:rsidRDefault="009103D3" w:rsidP="009103D3">
      <w:pPr>
        <w:tabs>
          <w:tab w:val="left" w:pos="709"/>
          <w:tab w:val="left" w:pos="851"/>
        </w:tabs>
        <w:spacing w:after="0" w:line="480" w:lineRule="auto"/>
      </w:pPr>
      <w:r>
        <w:tab/>
      </w:r>
      <w:r w:rsidR="000E19A9">
        <w:t>Moreover, e</w:t>
      </w:r>
      <w:r>
        <w:t xml:space="preserve">ven though teaching presence is </w:t>
      </w:r>
      <w:r w:rsidR="00950317">
        <w:t xml:space="preserve">primarily thought to be an </w:t>
      </w:r>
      <w:r>
        <w:t>instructor</w:t>
      </w:r>
      <w:r w:rsidR="00950317">
        <w:t xml:space="preserve"> responsibility</w:t>
      </w:r>
      <w:r>
        <w:t xml:space="preserve">, Garrison et al. (2000) </w:t>
      </w:r>
      <w:r w:rsidR="005A4E0A">
        <w:t>highlighted that</w:t>
      </w:r>
      <w:r>
        <w:t xml:space="preserve"> all stakeholders in an online learning environment </w:t>
      </w:r>
      <w:r w:rsidR="004620E0">
        <w:t xml:space="preserve">can have a share in </w:t>
      </w:r>
      <w:r>
        <w:t xml:space="preserve">teaching presence. </w:t>
      </w:r>
      <w:r w:rsidR="006A0DD1">
        <w:t xml:space="preserve">Garrison and Anderson (2003) went one step further and argued that </w:t>
      </w:r>
      <w:r w:rsidR="002A6F9F">
        <w:t>students</w:t>
      </w:r>
      <w:r w:rsidR="002A6F9F">
        <w:tab/>
        <w:t xml:space="preserve">` role in teaching presence can balance teacher impact and lead to more independent discussions (as cited in </w:t>
      </w:r>
      <w:proofErr w:type="spellStart"/>
      <w:r w:rsidR="002A6F9F">
        <w:t>Akyol</w:t>
      </w:r>
      <w:proofErr w:type="spellEnd"/>
      <w:r w:rsidR="002A6F9F">
        <w:t xml:space="preserve"> &amp; Garrison, 2008, p. 5).  </w:t>
      </w:r>
      <w:r w:rsidR="00051E57">
        <w:t>In anyway</w:t>
      </w:r>
      <w:r>
        <w:t xml:space="preserve">, </w:t>
      </w:r>
      <w:r w:rsidR="00051E57">
        <w:t xml:space="preserve">consequently, </w:t>
      </w:r>
      <w:r>
        <w:t xml:space="preserve">teaching presence </w:t>
      </w:r>
      <w:r w:rsidR="00051E57">
        <w:t>influences</w:t>
      </w:r>
      <w:r>
        <w:t xml:space="preserve"> both social and cognitive presence </w:t>
      </w:r>
      <w:r w:rsidR="00051E57">
        <w:t xml:space="preserve">on the part of learners. As for manifestation of teaching presence, it would range from scaffolding to feedback that can be provided by both the instructor and peer learners. </w:t>
      </w:r>
    </w:p>
    <w:p w:rsidR="00051E57" w:rsidRDefault="00194FB8" w:rsidP="009103D3">
      <w:pPr>
        <w:tabs>
          <w:tab w:val="left" w:pos="709"/>
          <w:tab w:val="left" w:pos="851"/>
        </w:tabs>
        <w:spacing w:after="0" w:line="480" w:lineRule="auto"/>
      </w:pPr>
      <w:r>
        <w:tab/>
        <w:t xml:space="preserve">However, there does not seem to be enough previous research effort that focused on </w:t>
      </w:r>
      <w:r w:rsidR="00CF3089">
        <w:t>what kind of a relationship exist</w:t>
      </w:r>
      <w:r w:rsidR="00E721B7">
        <w:t>s</w:t>
      </w:r>
      <w:r w:rsidR="00CF3089">
        <w:t xml:space="preserve"> between instructor teaching presence and student teaching presence. </w:t>
      </w:r>
      <w:r w:rsidR="00E721B7">
        <w:t xml:space="preserve">Such a relationship might be under the effect of </w:t>
      </w:r>
      <w:r w:rsidR="00FB2D94">
        <w:t xml:space="preserve">social presence though given the positive and high correlational (e.g., </w:t>
      </w:r>
      <w:proofErr w:type="spellStart"/>
      <w:r w:rsidR="00FB2D94">
        <w:t>Akyol</w:t>
      </w:r>
      <w:proofErr w:type="spellEnd"/>
      <w:r w:rsidR="00FB2D94">
        <w:t xml:space="preserve"> &amp; Garrison, 2008) as well as causal (e.g., Garrison et al., 2010) relationships between</w:t>
      </w:r>
      <w:r w:rsidR="003F5898">
        <w:t xml:space="preserve"> and among</w:t>
      </w:r>
      <w:r w:rsidR="00FB2D94">
        <w:t xml:space="preserve"> teaching presence</w:t>
      </w:r>
      <w:r w:rsidR="003F5898">
        <w:t>, social presence and</w:t>
      </w:r>
      <w:r w:rsidR="00FB2D94">
        <w:t xml:space="preserve"> cognitive presence</w:t>
      </w:r>
      <w:r w:rsidR="001F325B">
        <w:t>.</w:t>
      </w:r>
      <w:r w:rsidR="00BE698D">
        <w:t xml:space="preserve"> </w:t>
      </w:r>
      <w:r w:rsidR="0079004A">
        <w:t xml:space="preserve">As a result, the present study purports to </w:t>
      </w:r>
      <w:r w:rsidR="00C27413">
        <w:t xml:space="preserve">identify the relationship between instructor teaching presence and learner teaching presence by controlling for possible effects of social and cognitive presences that are presented </w:t>
      </w:r>
      <w:r w:rsidR="00D1111C">
        <w:t xml:space="preserve">briefly </w:t>
      </w:r>
      <w:r w:rsidR="00C27413">
        <w:t>below:</w:t>
      </w:r>
      <w:r w:rsidR="001F325B">
        <w:t xml:space="preserve"> </w:t>
      </w:r>
      <w:r w:rsidR="00FB2D94">
        <w:t xml:space="preserve"> </w:t>
      </w:r>
    </w:p>
    <w:p w:rsidR="008B680A" w:rsidRDefault="008B680A" w:rsidP="008B680A">
      <w:pPr>
        <w:tabs>
          <w:tab w:val="left" w:pos="709"/>
          <w:tab w:val="left" w:pos="851"/>
        </w:tabs>
        <w:spacing w:after="0" w:line="480" w:lineRule="auto"/>
      </w:pPr>
      <w:r>
        <w:tab/>
      </w:r>
      <w:proofErr w:type="gramStart"/>
      <w:r>
        <w:rPr>
          <w:b/>
        </w:rPr>
        <w:t>Social presence.</w:t>
      </w:r>
      <w:proofErr w:type="gramEnd"/>
      <w:r w:rsidR="00A36EC7">
        <w:rPr>
          <w:b/>
        </w:rPr>
        <w:t xml:space="preserve"> </w:t>
      </w:r>
      <w:r w:rsidR="00A36EC7" w:rsidRPr="00A36EC7">
        <w:t>According to</w:t>
      </w:r>
      <w:r>
        <w:t xml:space="preserve"> Garrison, C</w:t>
      </w:r>
      <w:r w:rsidR="005E0057">
        <w:t>levela</w:t>
      </w:r>
      <w:r w:rsidR="00A36EC7">
        <w:t xml:space="preserve">nd-Innes, and Fung (2004), </w:t>
      </w:r>
      <w:r>
        <w:t xml:space="preserve">“Social presence encompasses the ability of participants to coalesce for a common purpose.” (p. 63). </w:t>
      </w:r>
      <w:r w:rsidR="00352226">
        <w:t>Further</w:t>
      </w:r>
      <w:r w:rsidR="00A36EC7">
        <w:t xml:space="preserve">, </w:t>
      </w:r>
      <w:r w:rsidR="00352226">
        <w:t>social presence</w:t>
      </w:r>
      <w:r>
        <w:t xml:space="preserve"> </w:t>
      </w:r>
      <w:r w:rsidR="00352226">
        <w:t>was related to such things as (a) how concrete</w:t>
      </w:r>
      <w:r>
        <w:t xml:space="preserve"> the existence of others </w:t>
      </w:r>
      <w:r w:rsidR="00352226">
        <w:t xml:space="preserve">is </w:t>
      </w:r>
      <w:r>
        <w:t>(Short, Williams &amp; Christie, 1976</w:t>
      </w:r>
      <w:r w:rsidR="0035713F">
        <w:t>, as cited in Kim, 2011, p. 2</w:t>
      </w:r>
      <w:r>
        <w:t xml:space="preserve">); </w:t>
      </w:r>
      <w:r w:rsidR="00352226">
        <w:t xml:space="preserve">(b) </w:t>
      </w:r>
      <w:r>
        <w:t>intimacy (</w:t>
      </w:r>
      <w:r w:rsidR="00352226">
        <w:t xml:space="preserve">e.g., </w:t>
      </w:r>
      <w:r>
        <w:t>Argyle &amp; Dean, 1965) or immediacy (</w:t>
      </w:r>
      <w:r w:rsidR="00352226">
        <w:t xml:space="preserve">e.g., </w:t>
      </w:r>
      <w:proofErr w:type="spellStart"/>
      <w:r>
        <w:t>Mehrabian</w:t>
      </w:r>
      <w:proofErr w:type="spellEnd"/>
      <w:r>
        <w:t>, 1969) (</w:t>
      </w:r>
      <w:r w:rsidR="00352226">
        <w:t xml:space="preserve">as cited in </w:t>
      </w:r>
      <w:r>
        <w:t xml:space="preserve">Kim, 2011, p. 2). </w:t>
      </w:r>
      <w:r w:rsidR="00F268C9">
        <w:t xml:space="preserve">As a result, </w:t>
      </w:r>
      <w:r>
        <w:t xml:space="preserve">Kim (2011) </w:t>
      </w:r>
      <w:r w:rsidR="00F268C9">
        <w:t xml:space="preserve">described social presence </w:t>
      </w:r>
      <w:r w:rsidR="00CC7DFA">
        <w:t>as “</w:t>
      </w:r>
      <w:r>
        <w:t xml:space="preserve">the specific awareness of relations among </w:t>
      </w:r>
      <w:r>
        <w:lastRenderedPageBreak/>
        <w:t xml:space="preserve">the members in a mediated communication environment and the degree of proximity and affiliation formed through it.” (p. 766). </w:t>
      </w:r>
      <w:r w:rsidR="008003A0">
        <w:t>All t</w:t>
      </w:r>
      <w:r>
        <w:t xml:space="preserve">hese </w:t>
      </w:r>
      <w:r w:rsidR="008003A0">
        <w:t>imply</w:t>
      </w:r>
      <w:r>
        <w:t xml:space="preserve"> that</w:t>
      </w:r>
      <w:r w:rsidR="008003A0">
        <w:t xml:space="preserve"> having</w:t>
      </w:r>
      <w:r>
        <w:t xml:space="preserve"> a sense of trust </w:t>
      </w:r>
      <w:r w:rsidR="008003A0">
        <w:t>would of crucial importance for establishing social presence</w:t>
      </w:r>
      <w:r>
        <w:t xml:space="preserve"> in an online learning environment (</w:t>
      </w:r>
      <w:proofErr w:type="spellStart"/>
      <w:r>
        <w:t>Rourke</w:t>
      </w:r>
      <w:proofErr w:type="spellEnd"/>
      <w:r>
        <w:t xml:space="preserve">, Anderson, garrison, &amp; Archer, 1999). </w:t>
      </w:r>
    </w:p>
    <w:p w:rsidR="008B680A" w:rsidRDefault="008B680A" w:rsidP="008B680A">
      <w:pPr>
        <w:tabs>
          <w:tab w:val="left" w:pos="709"/>
          <w:tab w:val="left" w:pos="851"/>
        </w:tabs>
        <w:spacing w:after="0" w:line="480" w:lineRule="auto"/>
      </w:pPr>
      <w:r>
        <w:tab/>
      </w:r>
      <w:r w:rsidR="004A5B69">
        <w:t>Moreover, f</w:t>
      </w:r>
      <w:r w:rsidR="003013CB">
        <w:t xml:space="preserve">rom </w:t>
      </w:r>
      <w:r w:rsidR="004A5B69">
        <w:t xml:space="preserve">the perspective of </w:t>
      </w:r>
      <w:r w:rsidR="003013CB">
        <w:t xml:space="preserve">establishing and </w:t>
      </w:r>
      <w:r w:rsidR="00D82433">
        <w:t>sustaining a community of learning, social presence can have a key role in creating the desirable atmosphere that</w:t>
      </w:r>
      <w:r w:rsidR="004A5B69">
        <w:t xml:space="preserve"> is desirable. </w:t>
      </w:r>
      <w:r w:rsidR="00D82433">
        <w:t xml:space="preserve"> </w:t>
      </w:r>
      <w:r w:rsidR="004A5B69">
        <w:t>For</w:t>
      </w:r>
      <w:r>
        <w:t xml:space="preserve"> developing and </w:t>
      </w:r>
      <w:r w:rsidR="004A5B69">
        <w:t xml:space="preserve">creating such </w:t>
      </w:r>
      <w:r>
        <w:t xml:space="preserve">a sense of community, </w:t>
      </w:r>
      <w:proofErr w:type="spellStart"/>
      <w:r>
        <w:t>Abedin</w:t>
      </w:r>
      <w:proofErr w:type="spellEnd"/>
      <w:r>
        <w:t xml:space="preserve">, </w:t>
      </w:r>
      <w:proofErr w:type="spellStart"/>
      <w:r>
        <w:t>Daneshgar</w:t>
      </w:r>
      <w:proofErr w:type="spellEnd"/>
      <w:r>
        <w:t xml:space="preserve">, and </w:t>
      </w:r>
      <w:proofErr w:type="spellStart"/>
      <w:r>
        <w:t>D`Ambra</w:t>
      </w:r>
      <w:proofErr w:type="spellEnd"/>
      <w:r>
        <w:t xml:space="preserve"> (2010) </w:t>
      </w:r>
      <w:r w:rsidR="004A5B69">
        <w:t xml:space="preserve">pointed out the importance of (a) </w:t>
      </w:r>
      <w:r>
        <w:t>connectedness</w:t>
      </w:r>
      <w:r w:rsidR="004A5B69">
        <w:t>;</w:t>
      </w:r>
      <w:r>
        <w:t xml:space="preserve"> </w:t>
      </w:r>
      <w:r w:rsidR="004A5B69">
        <w:t xml:space="preserve">(b) </w:t>
      </w:r>
      <w:r>
        <w:t>lack of isolation</w:t>
      </w:r>
      <w:r w:rsidR="004A5B69">
        <w:t>;</w:t>
      </w:r>
      <w:r>
        <w:t xml:space="preserve"> </w:t>
      </w:r>
      <w:r w:rsidR="004A5B69">
        <w:t xml:space="preserve">(c) </w:t>
      </w:r>
      <w:r>
        <w:t>respect</w:t>
      </w:r>
      <w:r w:rsidR="004A5B69">
        <w:t>;</w:t>
      </w:r>
      <w:r>
        <w:t xml:space="preserve"> </w:t>
      </w:r>
      <w:r w:rsidR="004A5B69">
        <w:t xml:space="preserve">(d) </w:t>
      </w:r>
      <w:r>
        <w:t>cohesion</w:t>
      </w:r>
      <w:r w:rsidR="004A5B69">
        <w:t xml:space="preserve">; </w:t>
      </w:r>
      <w:r>
        <w:t xml:space="preserve"> </w:t>
      </w:r>
      <w:r w:rsidR="004A5B69">
        <w:t xml:space="preserve">(e) </w:t>
      </w:r>
      <w:r>
        <w:t>awareness of others</w:t>
      </w:r>
      <w:r w:rsidR="004A5B69">
        <w:t>;</w:t>
      </w:r>
      <w:r>
        <w:t xml:space="preserve"> </w:t>
      </w:r>
      <w:r w:rsidR="004A5B69">
        <w:t xml:space="preserve">(f) </w:t>
      </w:r>
      <w:r>
        <w:t>sense of belonging</w:t>
      </w:r>
      <w:r w:rsidR="004A5B69">
        <w:t>;</w:t>
      </w:r>
      <w:r>
        <w:t xml:space="preserve"> </w:t>
      </w:r>
      <w:r w:rsidR="004A5B69">
        <w:t xml:space="preserve">(g) </w:t>
      </w:r>
      <w:r>
        <w:t>interdependence (p. 589).</w:t>
      </w:r>
      <w:r w:rsidR="005C74CF">
        <w:t xml:space="preserve"> </w:t>
      </w:r>
      <w:r w:rsidR="00CC0AD5">
        <w:t xml:space="preserve">Under the assumption that social presence is a triggering factor for both setting up and fostering interactions among learners as suggested by previous research, then, it can help to encourage the factors </w:t>
      </w:r>
      <w:r w:rsidR="00094CFA">
        <w:t xml:space="preserve">listed by </w:t>
      </w:r>
      <w:proofErr w:type="spellStart"/>
      <w:r w:rsidR="00094CFA">
        <w:t>Abedin</w:t>
      </w:r>
      <w:proofErr w:type="spellEnd"/>
      <w:r w:rsidR="00094CFA">
        <w:t xml:space="preserve"> et al. (2010) above.</w:t>
      </w:r>
    </w:p>
    <w:p w:rsidR="008B680A" w:rsidRDefault="008B680A" w:rsidP="008B680A">
      <w:pPr>
        <w:tabs>
          <w:tab w:val="left" w:pos="709"/>
          <w:tab w:val="left" w:pos="851"/>
        </w:tabs>
        <w:spacing w:after="0" w:line="480" w:lineRule="auto"/>
      </w:pPr>
      <w:r>
        <w:tab/>
      </w:r>
      <w:r w:rsidR="00785E75">
        <w:t>S</w:t>
      </w:r>
      <w:r>
        <w:t xml:space="preserve">ocial presence </w:t>
      </w:r>
      <w:r w:rsidR="00785E75">
        <w:t xml:space="preserve">has also been diagnosed as </w:t>
      </w:r>
      <w:r w:rsidR="00516254">
        <w:t xml:space="preserve">an important factor impacting </w:t>
      </w:r>
      <w:r w:rsidR="00785E75">
        <w:t xml:space="preserve">learning </w:t>
      </w:r>
      <w:r>
        <w:t>(e.g., Kim, 2011; Richardson &amp; Swan, 2003; Swan &amp; Shih, 2005). Kim (2011)</w:t>
      </w:r>
      <w:r w:rsidR="00516254">
        <w:t xml:space="preserve">, for instance, </w:t>
      </w:r>
      <w:r w:rsidR="00785E75">
        <w:t>found</w:t>
      </w:r>
      <w:r>
        <w:t xml:space="preserve"> that instructor`s and learners` perceived social presence </w:t>
      </w:r>
      <w:r w:rsidR="003F068E">
        <w:t xml:space="preserve">are strong predictors for </w:t>
      </w:r>
      <w:r>
        <w:t>perceived learning and learning</w:t>
      </w:r>
      <w:r w:rsidR="00785E75">
        <w:t xml:space="preserve"> satisfaction</w:t>
      </w:r>
      <w:r>
        <w:t xml:space="preserve">. </w:t>
      </w:r>
      <w:r w:rsidR="003F068E">
        <w:t xml:space="preserve">These social presence effects seem to be mediated by teaching presence though. </w:t>
      </w:r>
      <w:r w:rsidR="00EC42F3">
        <w:t xml:space="preserve">In this respect, </w:t>
      </w:r>
      <w:r w:rsidR="003F068E">
        <w:t>Garrison</w:t>
      </w:r>
      <w:r w:rsidR="00DE0296">
        <w:t>,</w:t>
      </w:r>
      <w:r w:rsidR="003F068E">
        <w:t xml:space="preserve"> </w:t>
      </w:r>
      <w:proofErr w:type="spellStart"/>
      <w:r w:rsidR="00DE0296">
        <w:t>Clevelend</w:t>
      </w:r>
      <w:proofErr w:type="spellEnd"/>
      <w:r w:rsidR="00DE0296">
        <w:t xml:space="preserve">-Innes, and Fung </w:t>
      </w:r>
      <w:r w:rsidR="003F068E">
        <w:t xml:space="preserve">(2010) </w:t>
      </w:r>
      <w:r w:rsidR="00C82D73">
        <w:t>identified social presence as a covariate that functions in between teaching presence and cognitive presence.</w:t>
      </w:r>
      <w:r w:rsidR="006570F6">
        <w:t xml:space="preserve"> </w:t>
      </w:r>
      <w:r w:rsidR="000F4B3C">
        <w:t xml:space="preserve">Besides, </w:t>
      </w:r>
      <w:r>
        <w:t>Garrison</w:t>
      </w:r>
      <w:r w:rsidR="00DE0296">
        <w:t xml:space="preserve"> et al.</w:t>
      </w:r>
      <w:r>
        <w:t xml:space="preserve"> (2010) </w:t>
      </w:r>
      <w:r w:rsidR="000F4B3C">
        <w:t xml:space="preserve">asserted </w:t>
      </w:r>
      <w:r>
        <w:t xml:space="preserve">that social presence is </w:t>
      </w:r>
      <w:r w:rsidR="00902ACF">
        <w:t xml:space="preserve">driven by teaching presence. </w:t>
      </w:r>
    </w:p>
    <w:p w:rsidR="008B680A" w:rsidRDefault="008B680A" w:rsidP="008B680A">
      <w:pPr>
        <w:tabs>
          <w:tab w:val="left" w:pos="709"/>
          <w:tab w:val="left" w:pos="851"/>
        </w:tabs>
        <w:spacing w:after="0" w:line="480" w:lineRule="auto"/>
      </w:pPr>
      <w:r>
        <w:tab/>
      </w:r>
      <w:proofErr w:type="gramStart"/>
      <w:r>
        <w:rPr>
          <w:b/>
        </w:rPr>
        <w:t>Cognitive presence.</w:t>
      </w:r>
      <w:proofErr w:type="gramEnd"/>
      <w:r>
        <w:rPr>
          <w:b/>
        </w:rPr>
        <w:t xml:space="preserve"> </w:t>
      </w:r>
      <w:r w:rsidR="00112CFF" w:rsidRPr="00112CFF">
        <w:t xml:space="preserve">According to </w:t>
      </w:r>
      <w:r>
        <w:t>Garrison et al. (2010)</w:t>
      </w:r>
      <w:r w:rsidR="00112CFF">
        <w:t xml:space="preserve">, </w:t>
      </w:r>
      <w:r>
        <w:t>cognitive presence has a developmental characteristic</w:t>
      </w:r>
      <w:r w:rsidR="00E70229">
        <w:t>, which would heavily impact</w:t>
      </w:r>
      <w:r>
        <w:t xml:space="preserve"> </w:t>
      </w:r>
      <w:r w:rsidR="00E70229">
        <w:t xml:space="preserve">online learning </w:t>
      </w:r>
      <w:r>
        <w:t>experience</w:t>
      </w:r>
      <w:r w:rsidR="00E70229">
        <w:t>s</w:t>
      </w:r>
      <w:r>
        <w:t xml:space="preserve">. </w:t>
      </w:r>
      <w:r w:rsidR="008B096D">
        <w:t xml:space="preserve">Cognitive presence has also been associated strongly with critical thinking (Garrison et al., </w:t>
      </w:r>
      <w:r>
        <w:t>2010)</w:t>
      </w:r>
      <w:r w:rsidR="008B096D">
        <w:t xml:space="preserve">. </w:t>
      </w:r>
      <w:r>
        <w:t xml:space="preserve">Garrison et al. (2001) </w:t>
      </w:r>
      <w:r w:rsidR="000A3FFC">
        <w:t xml:space="preserve">defined </w:t>
      </w:r>
      <w:r>
        <w:t xml:space="preserve">cognitive presence </w:t>
      </w:r>
      <w:r w:rsidR="000A3FFC">
        <w:t>as</w:t>
      </w:r>
      <w:r>
        <w:t xml:space="preserve"> </w:t>
      </w:r>
      <w:r w:rsidR="000A3FFC">
        <w:t>creating</w:t>
      </w:r>
      <w:r>
        <w:t xml:space="preserve"> and sustain</w:t>
      </w:r>
      <w:r w:rsidR="000A3FFC">
        <w:t>ing</w:t>
      </w:r>
      <w:r>
        <w:t xml:space="preserve"> meaning </w:t>
      </w:r>
      <w:r w:rsidR="000A3FFC">
        <w:t>through</w:t>
      </w:r>
      <w:r>
        <w:t xml:space="preserve"> reflection </w:t>
      </w:r>
      <w:r w:rsidR="000A3FFC">
        <w:t>in</w:t>
      </w:r>
      <w:r>
        <w:t xml:space="preserve"> “a critical community of inquiry” (p. 11). </w:t>
      </w:r>
      <w:r w:rsidR="000D0CEC">
        <w:t xml:space="preserve">In a similar vein, </w:t>
      </w:r>
      <w:r>
        <w:t xml:space="preserve">Garrison </w:t>
      </w:r>
      <w:r>
        <w:lastRenderedPageBreak/>
        <w:t>(2003)</w:t>
      </w:r>
      <w:r w:rsidR="000D0CEC">
        <w:t xml:space="preserve"> pinpointed that</w:t>
      </w:r>
      <w:r>
        <w:t xml:space="preserve"> cognitive presence </w:t>
      </w:r>
      <w:r w:rsidR="00AB4B62">
        <w:t>comes into being based</w:t>
      </w:r>
      <w:r>
        <w:t xml:space="preserve"> on reflection, critical thinking, and collaboration. </w:t>
      </w:r>
      <w:r w:rsidR="002D3D01">
        <w:t>All these align with</w:t>
      </w:r>
      <w:r>
        <w:t xml:space="preserve"> Garrison and </w:t>
      </w:r>
      <w:proofErr w:type="spellStart"/>
      <w:r w:rsidR="00FC58D2">
        <w:t>Arbaugh</w:t>
      </w:r>
      <w:r w:rsidR="002D3D01">
        <w:t>`s</w:t>
      </w:r>
      <w:proofErr w:type="spellEnd"/>
      <w:r w:rsidR="00FC58D2">
        <w:t xml:space="preserve"> (2007</w:t>
      </w:r>
      <w:r>
        <w:t>)</w:t>
      </w:r>
      <w:r w:rsidR="002D3D01">
        <w:t xml:space="preserve"> claim</w:t>
      </w:r>
      <w:r>
        <w:t xml:space="preserve"> that cognitive presence </w:t>
      </w:r>
      <w:r w:rsidR="002D3D01">
        <w:t xml:space="preserve">incorporates </w:t>
      </w:r>
      <w:r>
        <w:t>reflection and discourse</w:t>
      </w:r>
      <w:r w:rsidR="002D3D01">
        <w:t>, which serves</w:t>
      </w:r>
      <w:r>
        <w:t xml:space="preserve"> learning outcomes. </w:t>
      </w:r>
    </w:p>
    <w:p w:rsidR="008B680A" w:rsidRDefault="008B680A" w:rsidP="008B680A">
      <w:pPr>
        <w:tabs>
          <w:tab w:val="left" w:pos="709"/>
          <w:tab w:val="left" w:pos="851"/>
        </w:tabs>
        <w:spacing w:after="0" w:line="480" w:lineRule="auto"/>
      </w:pPr>
      <w:r>
        <w:tab/>
      </w:r>
      <w:r w:rsidR="00971DEC">
        <w:t>Moreover,</w:t>
      </w:r>
      <w:r w:rsidR="00137816">
        <w:t xml:space="preserve"> </w:t>
      </w:r>
      <w:r w:rsidR="00545EEF">
        <w:t xml:space="preserve">cognitive presence seems to relate closely to critical thinking. To illustrate, </w:t>
      </w:r>
      <w:r w:rsidR="00137816">
        <w:t xml:space="preserve">according to </w:t>
      </w:r>
      <w:proofErr w:type="spellStart"/>
      <w:r w:rsidR="00137816">
        <w:t>Kanuka</w:t>
      </w:r>
      <w:proofErr w:type="spellEnd"/>
      <w:r w:rsidR="00137816">
        <w:t xml:space="preserve"> and Garrison (2004), cognitive presence </w:t>
      </w:r>
      <w:r w:rsidR="000F013F">
        <w:t>strongly serves</w:t>
      </w:r>
      <w:r w:rsidR="00137816">
        <w:t xml:space="preserve"> critical thinking</w:t>
      </w:r>
      <w:r w:rsidR="000628CD">
        <w:t>,</w:t>
      </w:r>
      <w:r w:rsidR="00137816">
        <w:t xml:space="preserve"> </w:t>
      </w:r>
      <w:r w:rsidR="000F013F">
        <w:t>which in turn promotes learning</w:t>
      </w:r>
      <w:r w:rsidR="000628CD">
        <w:t xml:space="preserve"> substantially</w:t>
      </w:r>
      <w:r w:rsidR="000F013F">
        <w:t xml:space="preserve">. </w:t>
      </w:r>
      <w:r w:rsidR="00955C44">
        <w:t xml:space="preserve">In other words, </w:t>
      </w:r>
      <w:r w:rsidR="00B32192">
        <w:t xml:space="preserve">the authors implied that cognitive presence is a precursor for critical thinking or higher-order thinking. </w:t>
      </w:r>
      <w:r w:rsidR="00A72C3E">
        <w:t xml:space="preserve">It seems that cognitive presence does not only relate to </w:t>
      </w:r>
      <w:r w:rsidR="005A1C4D">
        <w:t xml:space="preserve">higher-order thinking but also to higher-order knowledge and its acquisition. </w:t>
      </w:r>
      <w:r w:rsidR="0098780A">
        <w:t xml:space="preserve">In this regard, based on </w:t>
      </w:r>
      <w:r>
        <w:t>Garrison et al. (2001)</w:t>
      </w:r>
      <w:r w:rsidR="0098780A">
        <w:t>,</w:t>
      </w:r>
      <w:r>
        <w:t xml:space="preserve"> cognitive presence </w:t>
      </w:r>
      <w:r w:rsidR="0098780A">
        <w:t>involves both acquiring and applying higher-order knowledge.</w:t>
      </w:r>
    </w:p>
    <w:p w:rsidR="008B680A" w:rsidRDefault="00B34F06" w:rsidP="008B680A">
      <w:pPr>
        <w:tabs>
          <w:tab w:val="left" w:pos="709"/>
          <w:tab w:val="left" w:pos="851"/>
        </w:tabs>
        <w:spacing w:after="0" w:line="480" w:lineRule="auto"/>
      </w:pPr>
      <w:r>
        <w:tab/>
        <w:t xml:space="preserve">As for operationalization of cognitive presence, </w:t>
      </w:r>
      <w:r w:rsidR="008B680A">
        <w:t xml:space="preserve">Garrison et al. (2000) </w:t>
      </w:r>
      <w:r>
        <w:t>offered a</w:t>
      </w:r>
      <w:r w:rsidR="008B680A">
        <w:t xml:space="preserve"> practical inquiry </w:t>
      </w:r>
      <w:r>
        <w:t>model which defines inquiry as an integrated process consisting of variou</w:t>
      </w:r>
      <w:r w:rsidR="004A05AF">
        <w:t xml:space="preserve">s components or phases. </w:t>
      </w:r>
      <w:r w:rsidR="004F37B7">
        <w:t>T</w:t>
      </w:r>
      <w:r w:rsidR="008B680A">
        <w:t>he practical inquiry model</w:t>
      </w:r>
      <w:r w:rsidR="004F37B7">
        <w:t xml:space="preserve"> assumes that</w:t>
      </w:r>
      <w:r w:rsidR="008B680A">
        <w:t xml:space="preserve"> </w:t>
      </w:r>
      <w:r w:rsidR="004F37B7">
        <w:t>a</w:t>
      </w:r>
      <w:r w:rsidR="008B680A">
        <w:t xml:space="preserve"> learning </w:t>
      </w:r>
      <w:r w:rsidR="004F37B7">
        <w:t>experience follows the following cycle consecutively:</w:t>
      </w:r>
      <w:r w:rsidR="008B680A">
        <w:t xml:space="preserve"> </w:t>
      </w:r>
      <w:r w:rsidR="004F37B7">
        <w:t xml:space="preserve">(a) </w:t>
      </w:r>
      <w:r w:rsidR="008B680A">
        <w:t>a triggering event</w:t>
      </w:r>
      <w:r w:rsidR="004F37B7">
        <w:t>; (b)</w:t>
      </w:r>
      <w:r w:rsidR="008B680A">
        <w:t xml:space="preserve"> a solution or resolution</w:t>
      </w:r>
      <w:r w:rsidR="009B3622">
        <w:t>.</w:t>
      </w:r>
      <w:r w:rsidR="004F37B7">
        <w:t xml:space="preserve"> This involves a circular relationship since solutions or resolutions result in new triggering events that would ask for new solutions or resolutions. As a consequence, </w:t>
      </w:r>
      <w:r w:rsidR="004859AE">
        <w:t>learning originates from and closely</w:t>
      </w:r>
      <w:r w:rsidR="004F62D9">
        <w:t xml:space="preserve"> </w:t>
      </w:r>
      <w:r w:rsidR="004859AE">
        <w:t>relates to</w:t>
      </w:r>
      <w:r w:rsidR="004F62D9">
        <w:t xml:space="preserve"> </w:t>
      </w:r>
      <w:r w:rsidR="009B3622">
        <w:t>being cognitively presen</w:t>
      </w:r>
      <w:r w:rsidR="008211DE">
        <w:t>t or active</w:t>
      </w:r>
      <w:r w:rsidR="009B3622">
        <w:t xml:space="preserve"> during</w:t>
      </w:r>
      <w:r w:rsidR="008211DE">
        <w:t xml:space="preserve"> all the phases</w:t>
      </w:r>
      <w:r w:rsidR="009B3622">
        <w:t xml:space="preserve"> </w:t>
      </w:r>
      <w:r w:rsidR="008211DE">
        <w:t>of practical inquiry approach to learning.</w:t>
      </w:r>
      <w:r w:rsidR="004859AE">
        <w:t xml:space="preserve"> </w:t>
      </w:r>
      <w:r w:rsidR="004F37B7">
        <w:t xml:space="preserve"> </w:t>
      </w:r>
    </w:p>
    <w:p w:rsidR="00A8363D" w:rsidRDefault="008B680A" w:rsidP="00E661EC">
      <w:pPr>
        <w:tabs>
          <w:tab w:val="left" w:pos="709"/>
          <w:tab w:val="left" w:pos="851"/>
        </w:tabs>
        <w:spacing w:after="0" w:line="480" w:lineRule="auto"/>
      </w:pPr>
      <w:r>
        <w:tab/>
        <w:t xml:space="preserve">    To sum up, </w:t>
      </w:r>
      <w:r w:rsidR="008211DE">
        <w:t xml:space="preserve">teaching presence shown either by the instructor or the students, </w:t>
      </w:r>
      <w:r w:rsidR="0003187D">
        <w:t xml:space="preserve">refer to </w:t>
      </w:r>
      <w:r w:rsidR="00873504">
        <w:t xml:space="preserve">perceived existence of guidance and facilitation in a learning experience. </w:t>
      </w:r>
      <w:r w:rsidR="00847361">
        <w:t xml:space="preserve">Social presence, on the other hand, </w:t>
      </w:r>
      <w:r w:rsidR="00CA4B74">
        <w:t xml:space="preserve">refers to perceived awareness of the existence of others as well as </w:t>
      </w:r>
      <w:r w:rsidR="005C1930">
        <w:t>the established relationships with them</w:t>
      </w:r>
      <w:r w:rsidR="00C46DFF">
        <w:t xml:space="preserve"> while </w:t>
      </w:r>
      <w:r w:rsidR="00B732C6">
        <w:t>cognitive presence is employing higher-order thinking or critical thinking through reserved reflection and discussion</w:t>
      </w:r>
      <w:r w:rsidR="005C1930">
        <w:t>.</w:t>
      </w:r>
      <w:r w:rsidR="00DE1519">
        <w:t xml:space="preserve"> Despite these difference definitions, there are </w:t>
      </w:r>
      <w:r w:rsidR="001665C6">
        <w:t xml:space="preserve">close interrelationships between and among the presences </w:t>
      </w:r>
      <w:r w:rsidR="001665C6">
        <w:lastRenderedPageBreak/>
        <w:t xml:space="preserve">though. </w:t>
      </w:r>
      <w:r w:rsidR="0093768C">
        <w:t xml:space="preserve">Moreover, teaching presence </w:t>
      </w:r>
      <w:r w:rsidR="00384F07">
        <w:t xml:space="preserve">can be employed by all members of a learning community including students. </w:t>
      </w:r>
      <w:r w:rsidR="00DA0A38">
        <w:t xml:space="preserve"> </w:t>
      </w:r>
    </w:p>
    <w:p w:rsidR="00EE5BE2" w:rsidRPr="00587BCF" w:rsidRDefault="00A8363D" w:rsidP="00E661EC">
      <w:pPr>
        <w:tabs>
          <w:tab w:val="left" w:pos="709"/>
          <w:tab w:val="left" w:pos="851"/>
        </w:tabs>
        <w:spacing w:after="0" w:line="480" w:lineRule="auto"/>
      </w:pPr>
      <w:r>
        <w:tab/>
      </w:r>
      <w:r w:rsidR="00DA0A38">
        <w:t>However, the</w:t>
      </w:r>
      <w:r w:rsidR="00E661EC">
        <w:t xml:space="preserve"> relationship between </w:t>
      </w:r>
      <w:r w:rsidR="00C975D3">
        <w:t>student</w:t>
      </w:r>
      <w:r w:rsidR="00E661EC">
        <w:t xml:space="preserve"> teaching presence and </w:t>
      </w:r>
      <w:r w:rsidR="00C975D3">
        <w:t xml:space="preserve">social and cognitive presences is </w:t>
      </w:r>
      <w:r w:rsidR="00E661EC">
        <w:t xml:space="preserve">an underexplored issue as well as </w:t>
      </w:r>
      <w:r w:rsidR="00CF39F9">
        <w:t xml:space="preserve">the </w:t>
      </w:r>
      <w:r w:rsidR="00E661EC">
        <w:t>effects of teaching styles on learner motivation and engagement without self-efficacy as a confound</w:t>
      </w:r>
      <w:r w:rsidR="00811623">
        <w:t>ing</w:t>
      </w:r>
      <w:r w:rsidR="00E661EC">
        <w:t xml:space="preserve"> factor. </w:t>
      </w:r>
      <w:r w:rsidR="002F11D4">
        <w:t>Consequently, the present study examined the following research questions:</w:t>
      </w:r>
    </w:p>
    <w:p w:rsidR="009638A3" w:rsidRPr="007561D5" w:rsidRDefault="009638A3" w:rsidP="009638A3">
      <w:pPr>
        <w:pStyle w:val="ListeParagraf"/>
        <w:numPr>
          <w:ilvl w:val="0"/>
          <w:numId w:val="6"/>
        </w:numPr>
        <w:spacing w:after="0" w:line="480" w:lineRule="auto"/>
        <w:rPr>
          <w:b/>
        </w:rPr>
      </w:pPr>
      <w:r>
        <w:t xml:space="preserve">What </w:t>
      </w:r>
      <w:r w:rsidR="00040BDD">
        <w:t xml:space="preserve">are the interrelationships between </w:t>
      </w:r>
      <w:r w:rsidR="00A750D9">
        <w:t>student teaching presence</w:t>
      </w:r>
      <w:r>
        <w:t xml:space="preserve"> </w:t>
      </w:r>
      <w:r w:rsidR="00040BDD">
        <w:t xml:space="preserve">and </w:t>
      </w:r>
      <w:r>
        <w:t>social presence and cognitive presence</w:t>
      </w:r>
      <w:r w:rsidR="00E010C3">
        <w:t>s while controlling for each others` possible effects</w:t>
      </w:r>
      <w:r>
        <w:t>?</w:t>
      </w:r>
    </w:p>
    <w:p w:rsidR="00D9285F" w:rsidRPr="00027A00" w:rsidRDefault="007561D5" w:rsidP="00F12A36">
      <w:pPr>
        <w:pStyle w:val="ListeParagraf"/>
        <w:numPr>
          <w:ilvl w:val="0"/>
          <w:numId w:val="6"/>
        </w:numPr>
        <w:spacing w:after="0" w:line="480" w:lineRule="auto"/>
      </w:pPr>
      <w:r>
        <w:t xml:space="preserve">What are the effects of online </w:t>
      </w:r>
      <w:r w:rsidR="003017B9">
        <w:t>instructor</w:t>
      </w:r>
      <w:r>
        <w:t xml:space="preserve"> </w:t>
      </w:r>
      <w:r w:rsidR="003017B9">
        <w:t xml:space="preserve">participation </w:t>
      </w:r>
      <w:r>
        <w:t>styles</w:t>
      </w:r>
      <w:r w:rsidR="0072741C">
        <w:t xml:space="preserve"> (constructive versus destructive discourse</w:t>
      </w:r>
      <w:r w:rsidR="00566D46">
        <w:t xml:space="preserve"> style</w:t>
      </w:r>
      <w:r w:rsidR="0072741C">
        <w:t>)</w:t>
      </w:r>
      <w:r>
        <w:t xml:space="preserve"> on students' motivation and engagement levels while controlling for self-efficacy?</w:t>
      </w:r>
    </w:p>
    <w:p w:rsidR="000D5699" w:rsidRDefault="00B06760" w:rsidP="00B06760">
      <w:pPr>
        <w:spacing w:after="0" w:line="480" w:lineRule="auto"/>
        <w:ind w:firstLine="708"/>
        <w:jc w:val="center"/>
        <w:rPr>
          <w:b/>
        </w:rPr>
      </w:pPr>
      <w:r>
        <w:rPr>
          <w:b/>
        </w:rPr>
        <w:t>The Present Study</w:t>
      </w:r>
    </w:p>
    <w:p w:rsidR="003603F3" w:rsidRDefault="003603F3" w:rsidP="003603F3">
      <w:pPr>
        <w:tabs>
          <w:tab w:val="left" w:pos="2977"/>
        </w:tabs>
        <w:spacing w:after="0" w:line="480" w:lineRule="auto"/>
        <w:ind w:firstLine="737"/>
        <w:rPr>
          <w:color w:val="000000" w:themeColor="text1"/>
        </w:rPr>
      </w:pPr>
      <w:r>
        <w:rPr>
          <w:color w:val="000000" w:themeColor="text1"/>
        </w:rPr>
        <w:t xml:space="preserve">The current study examines whether different online teaching styles (e.g., playing devil`s advocate, challenging students, affirming students etc.) affect students` motivation and engagement under the condition of student self-efficacy. It also explores the relationship between instructor teaching presence and learner teaching presence while controlling for possible effects of social and cognitive presences. </w:t>
      </w:r>
    </w:p>
    <w:p w:rsidR="00E26ACC" w:rsidRDefault="00E26ACC" w:rsidP="00E26ACC">
      <w:pPr>
        <w:spacing w:after="0" w:line="480" w:lineRule="auto"/>
        <w:ind w:firstLine="737"/>
        <w:rPr>
          <w:color w:val="000000" w:themeColor="text1"/>
        </w:rPr>
      </w:pPr>
      <w:r>
        <w:rPr>
          <w:color w:val="000000" w:themeColor="text1"/>
        </w:rPr>
        <w:t>In this regard, t</w:t>
      </w:r>
      <w:r w:rsidRPr="0056394E">
        <w:rPr>
          <w:color w:val="000000" w:themeColor="text1"/>
        </w:rPr>
        <w:t>he following research hypotheses were examined in the current study:</w:t>
      </w:r>
      <w:r>
        <w:rPr>
          <w:color w:val="000000" w:themeColor="text1"/>
        </w:rPr>
        <w:t xml:space="preserve"> The first hypothesis assumed that students` motivation and engagement should increase as an instructor employs an approachable teaching style more and more. In other words, it was expected to find lower student motivation and engagement levels associated with a teaching style that challenges learners excessively, which is the case in a devil`s advocate approach. This effect was expected to be independent of any possible effects of student self-efficacy. Secondly, the second hypothesis predicted that student self-efficacy should relate </w:t>
      </w:r>
      <w:r>
        <w:rPr>
          <w:color w:val="000000" w:themeColor="text1"/>
        </w:rPr>
        <w:lastRenderedPageBreak/>
        <w:t xml:space="preserve">significantly to student motivation and engagement, which is independent of </w:t>
      </w:r>
      <w:r w:rsidR="00DC2026">
        <w:t>instructor participation styles</w:t>
      </w:r>
      <w:r>
        <w:rPr>
          <w:color w:val="000000" w:themeColor="text1"/>
        </w:rPr>
        <w:t xml:space="preserve">. </w:t>
      </w:r>
      <w:r w:rsidR="00B1443F">
        <w:rPr>
          <w:color w:val="000000" w:themeColor="text1"/>
        </w:rPr>
        <w:t>It is expected to be i</w:t>
      </w:r>
      <w:r>
        <w:rPr>
          <w:color w:val="000000" w:themeColor="text1"/>
        </w:rPr>
        <w:t xml:space="preserve">ndependent of </w:t>
      </w:r>
      <w:r w:rsidR="00DC2026">
        <w:t>instructor participation style</w:t>
      </w:r>
      <w:r w:rsidR="00B1443F">
        <w:rPr>
          <w:color w:val="000000" w:themeColor="text1"/>
        </w:rPr>
        <w:t xml:space="preserve">, since the question was examined through analysis of covariance (ANCOVA), a statistical test that </w:t>
      </w:r>
      <w:r w:rsidR="008017A5">
        <w:rPr>
          <w:color w:val="000000" w:themeColor="text1"/>
        </w:rPr>
        <w:t>gauges</w:t>
      </w:r>
      <w:r w:rsidR="00B1443F">
        <w:rPr>
          <w:color w:val="000000" w:themeColor="text1"/>
        </w:rPr>
        <w:t xml:space="preserve"> the relationship of a covariate to a dependent variable regardless of the independent variable.</w:t>
      </w:r>
    </w:p>
    <w:p w:rsidR="00DC2026" w:rsidRDefault="00DC2026" w:rsidP="00DC2026">
      <w:pPr>
        <w:tabs>
          <w:tab w:val="left" w:pos="2977"/>
        </w:tabs>
        <w:spacing w:after="0" w:line="480" w:lineRule="auto"/>
        <w:rPr>
          <w:b/>
          <w:color w:val="000000" w:themeColor="text1"/>
        </w:rPr>
      </w:pPr>
      <w:r w:rsidRPr="00071C0F">
        <w:rPr>
          <w:b/>
          <w:color w:val="000000" w:themeColor="text1"/>
        </w:rPr>
        <w:t>Method</w:t>
      </w:r>
      <w:r>
        <w:rPr>
          <w:b/>
          <w:color w:val="000000" w:themeColor="text1"/>
        </w:rPr>
        <w:t>s</w:t>
      </w:r>
    </w:p>
    <w:p w:rsidR="003A4D84" w:rsidRDefault="00DC2026" w:rsidP="00DC2026">
      <w:pPr>
        <w:spacing w:after="0" w:line="480" w:lineRule="auto"/>
        <w:ind w:firstLine="737"/>
        <w:outlineLvl w:val="0"/>
      </w:pPr>
      <w:r>
        <w:rPr>
          <w:b/>
        </w:rPr>
        <w:t>Design</w:t>
      </w:r>
      <w:r w:rsidR="00CB72E5">
        <w:rPr>
          <w:b/>
        </w:rPr>
        <w:t xml:space="preserve"> and Sampling</w:t>
      </w:r>
      <w:r>
        <w:rPr>
          <w:b/>
        </w:rPr>
        <w:t xml:space="preserve">. </w:t>
      </w:r>
      <w:r>
        <w:t>The experimental design used in the present study is non-experimental in that no independent variable was manipulated and no random assignment</w:t>
      </w:r>
      <w:r w:rsidR="00FE000D">
        <w:t xml:space="preserve"> or selection</w:t>
      </w:r>
      <w:r>
        <w:t xml:space="preserve"> of individual participants was realized. More specifically, this an ex-post facto non-experimental design in which a purposive sampling method was used. Courses that constituted the research context were randomly selected in order to identify the participants though. </w:t>
      </w:r>
    </w:p>
    <w:p w:rsidR="00DC2026" w:rsidRDefault="003A4D84" w:rsidP="00DC2026">
      <w:pPr>
        <w:spacing w:after="0" w:line="480" w:lineRule="auto"/>
        <w:ind w:firstLine="737"/>
        <w:outlineLvl w:val="0"/>
      </w:pPr>
      <w:r>
        <w:t xml:space="preserve">Moreover, </w:t>
      </w:r>
      <w:r w:rsidR="001F57D3">
        <w:t>this is a quantitative study base</w:t>
      </w:r>
      <w:r w:rsidR="00476174">
        <w:t>d on quantitative data analysis</w:t>
      </w:r>
      <w:r w:rsidR="004F2A38">
        <w:t>.</w:t>
      </w:r>
      <w:r w:rsidR="008B3105">
        <w:t xml:space="preserve"> Additionally, it implemented </w:t>
      </w:r>
      <w:proofErr w:type="spellStart"/>
      <w:r w:rsidR="008B3105">
        <w:t>Likert</w:t>
      </w:r>
      <w:proofErr w:type="spellEnd"/>
      <w:r w:rsidR="008B3105">
        <w:t>-scaled survey instruments.</w:t>
      </w:r>
      <w:r>
        <w:t xml:space="preserve"> Specifically speaking, </w:t>
      </w:r>
      <w:r w:rsidR="001F74A1">
        <w:t xml:space="preserve">(a) dependent data were created through content analysis by the researcher </w:t>
      </w:r>
      <w:r w:rsidR="008B3105">
        <w:t>by</w:t>
      </w:r>
      <w:r w:rsidR="001F74A1">
        <w:t xml:space="preserve"> </w:t>
      </w:r>
      <w:r w:rsidR="00753B3B">
        <w:t xml:space="preserve">coding both instructor and student discussion posts; (b) </w:t>
      </w:r>
      <w:r w:rsidR="00051C73">
        <w:t>research questions were a</w:t>
      </w:r>
      <w:r w:rsidR="00047AFC">
        <w:t xml:space="preserve">ddressed through ANCOVA and partial correlation analysis. </w:t>
      </w:r>
    </w:p>
    <w:p w:rsidR="003275D8" w:rsidRPr="003275D8" w:rsidRDefault="003275D8" w:rsidP="00DC2026">
      <w:pPr>
        <w:spacing w:after="0" w:line="480" w:lineRule="auto"/>
        <w:ind w:firstLine="737"/>
        <w:outlineLvl w:val="0"/>
        <w:rPr>
          <w:b/>
        </w:rPr>
      </w:pPr>
      <w:proofErr w:type="gramStart"/>
      <w:r w:rsidRPr="003275D8">
        <w:rPr>
          <w:b/>
        </w:rPr>
        <w:t>Researcher role.</w:t>
      </w:r>
      <w:proofErr w:type="gramEnd"/>
      <w:r>
        <w:rPr>
          <w:b/>
        </w:rPr>
        <w:t xml:space="preserve"> </w:t>
      </w:r>
      <w:r w:rsidRPr="003275D8">
        <w:t>All</w:t>
      </w:r>
      <w:r>
        <w:rPr>
          <w:b/>
        </w:rPr>
        <w:t xml:space="preserve"> a</w:t>
      </w:r>
      <w:r>
        <w:t>nalyses were conducted by the researcher as well as coding or</w:t>
      </w:r>
      <w:r w:rsidR="000E4750">
        <w:t xml:space="preserve"> doing the</w:t>
      </w:r>
      <w:r>
        <w:t xml:space="preserve"> content analysis.</w:t>
      </w:r>
      <w:r w:rsidR="00410BFD">
        <w:t xml:space="preserve"> </w:t>
      </w:r>
      <w:r w:rsidR="000E4750">
        <w:t>The researcher wrote this paper too.</w:t>
      </w:r>
    </w:p>
    <w:p w:rsidR="00550FCF" w:rsidRDefault="00550FCF" w:rsidP="00550FCF">
      <w:pPr>
        <w:spacing w:after="0" w:line="480" w:lineRule="auto"/>
        <w:ind w:firstLine="737"/>
        <w:outlineLvl w:val="0"/>
        <w:rPr>
          <w:color w:val="000000" w:themeColor="text1"/>
        </w:rPr>
      </w:pPr>
      <w:proofErr w:type="gramStart"/>
      <w:r w:rsidRPr="00B733FC">
        <w:rPr>
          <w:b/>
        </w:rPr>
        <w:t>Participants</w:t>
      </w:r>
      <w:r>
        <w:rPr>
          <w:b/>
        </w:rPr>
        <w:t>.</w:t>
      </w:r>
      <w:proofErr w:type="gramEnd"/>
      <w:r>
        <w:rPr>
          <w:b/>
        </w:rPr>
        <w:t xml:space="preserve"> </w:t>
      </w:r>
      <w:r>
        <w:t xml:space="preserve">X number of graduate-level American college students (X females and X males; </w:t>
      </w:r>
      <w:r>
        <w:rPr>
          <w:i/>
          <w:color w:val="000000" w:themeColor="text1"/>
        </w:rPr>
        <w:t xml:space="preserve">M </w:t>
      </w:r>
      <w:r>
        <w:rPr>
          <w:color w:val="000000" w:themeColor="text1"/>
        </w:rPr>
        <w:t xml:space="preserve">= X years, </w:t>
      </w:r>
      <w:r w:rsidRPr="003010C7">
        <w:rPr>
          <w:color w:val="000000" w:themeColor="text1"/>
        </w:rPr>
        <w:t>SD</w:t>
      </w:r>
      <w:r>
        <w:rPr>
          <w:i/>
          <w:color w:val="000000" w:themeColor="text1"/>
        </w:rPr>
        <w:t xml:space="preserve"> </w:t>
      </w:r>
      <w:r>
        <w:rPr>
          <w:color w:val="000000" w:themeColor="text1"/>
        </w:rPr>
        <w:t xml:space="preserve">= X) enrolling in a fully online Learning, Design, and Technology Master`s of Science Program at a large public Midwest university in the USA participated in the current study. </w:t>
      </w:r>
      <w:r w:rsidR="00F100E4">
        <w:rPr>
          <w:color w:val="000000" w:themeColor="text1"/>
        </w:rPr>
        <w:t xml:space="preserve">Besides, </w:t>
      </w:r>
      <w:r w:rsidR="00201384">
        <w:rPr>
          <w:color w:val="000000" w:themeColor="text1"/>
        </w:rPr>
        <w:t>three</w:t>
      </w:r>
      <w:r w:rsidR="00E87559">
        <w:rPr>
          <w:color w:val="000000" w:themeColor="text1"/>
        </w:rPr>
        <w:t xml:space="preserve"> instructors (</w:t>
      </w:r>
      <w:r w:rsidR="00E87559">
        <w:t xml:space="preserve">X females and X males; </w:t>
      </w:r>
      <w:r w:rsidR="00E87559">
        <w:rPr>
          <w:i/>
          <w:color w:val="000000" w:themeColor="text1"/>
        </w:rPr>
        <w:t xml:space="preserve">M </w:t>
      </w:r>
      <w:r w:rsidR="00E87559">
        <w:rPr>
          <w:color w:val="000000" w:themeColor="text1"/>
        </w:rPr>
        <w:t xml:space="preserve">= X years, </w:t>
      </w:r>
      <w:r w:rsidR="00E87559" w:rsidRPr="003010C7">
        <w:rPr>
          <w:color w:val="000000" w:themeColor="text1"/>
        </w:rPr>
        <w:t>SD</w:t>
      </w:r>
      <w:r w:rsidR="00E87559">
        <w:rPr>
          <w:i/>
          <w:color w:val="000000" w:themeColor="text1"/>
        </w:rPr>
        <w:t xml:space="preserve"> </w:t>
      </w:r>
      <w:r w:rsidR="00E87559">
        <w:rPr>
          <w:color w:val="000000" w:themeColor="text1"/>
        </w:rPr>
        <w:t xml:space="preserve">= X) with a mean </w:t>
      </w:r>
      <w:r w:rsidR="003D036C">
        <w:rPr>
          <w:color w:val="000000" w:themeColor="text1"/>
        </w:rPr>
        <w:t xml:space="preserve">of </w:t>
      </w:r>
      <w:r w:rsidR="00E87559">
        <w:rPr>
          <w:color w:val="000000" w:themeColor="text1"/>
        </w:rPr>
        <w:t>X years of online teaching experience contributed to the study.</w:t>
      </w:r>
      <w:r>
        <w:rPr>
          <w:color w:val="000000" w:themeColor="text1"/>
        </w:rPr>
        <w:t xml:space="preserve"> Participation was voluntary and participants</w:t>
      </w:r>
      <w:r w:rsidR="00EA4312">
        <w:rPr>
          <w:color w:val="000000" w:themeColor="text1"/>
        </w:rPr>
        <w:t xml:space="preserve"> were contacted </w:t>
      </w:r>
      <w:r w:rsidR="0077723C">
        <w:rPr>
          <w:color w:val="000000" w:themeColor="text1"/>
        </w:rPr>
        <w:t xml:space="preserve">via email </w:t>
      </w:r>
      <w:r w:rsidR="00EA4312">
        <w:rPr>
          <w:color w:val="000000" w:themeColor="text1"/>
        </w:rPr>
        <w:t xml:space="preserve">throughout the </w:t>
      </w:r>
      <w:r>
        <w:rPr>
          <w:color w:val="000000" w:themeColor="text1"/>
        </w:rPr>
        <w:t>experiment.</w:t>
      </w:r>
      <w:r w:rsidR="00EA4312">
        <w:rPr>
          <w:color w:val="000000" w:themeColor="text1"/>
        </w:rPr>
        <w:t xml:space="preserve"> </w:t>
      </w:r>
      <w:r>
        <w:rPr>
          <w:color w:val="000000" w:themeColor="text1"/>
        </w:rPr>
        <w:t xml:space="preserve"> </w:t>
      </w:r>
    </w:p>
    <w:p w:rsidR="00EA4312" w:rsidRDefault="00EA4312" w:rsidP="00EA4312">
      <w:pPr>
        <w:spacing w:after="0" w:line="480" w:lineRule="auto"/>
        <w:outlineLvl w:val="0"/>
      </w:pPr>
      <w:r>
        <w:rPr>
          <w:color w:val="000000" w:themeColor="text1"/>
        </w:rPr>
        <w:lastRenderedPageBreak/>
        <w:tab/>
      </w:r>
      <w:proofErr w:type="gramStart"/>
      <w:r w:rsidR="001F7C6C" w:rsidRPr="00EA4312">
        <w:rPr>
          <w:b/>
          <w:color w:val="000000" w:themeColor="text1"/>
        </w:rPr>
        <w:t>Research context.</w:t>
      </w:r>
      <w:proofErr w:type="gramEnd"/>
      <w:r>
        <w:rPr>
          <w:color w:val="000000" w:themeColor="text1"/>
        </w:rPr>
        <w:t xml:space="preserve"> </w:t>
      </w:r>
      <w:r w:rsidR="00AE0AB7">
        <w:t xml:space="preserve">The </w:t>
      </w:r>
      <w:r>
        <w:t xml:space="preserve">learning context </w:t>
      </w:r>
      <w:r w:rsidR="00AE0AB7">
        <w:t xml:space="preserve">employed </w:t>
      </w:r>
      <w:r>
        <w:t>was a distance educa</w:t>
      </w:r>
      <w:r w:rsidR="001C0DC2">
        <w:t>tion learning management system called</w:t>
      </w:r>
      <w:r>
        <w:t xml:space="preserve"> </w:t>
      </w:r>
      <w:r w:rsidR="001C0DC2">
        <w:t>“</w:t>
      </w:r>
      <w:r>
        <w:t>Blackboard</w:t>
      </w:r>
      <w:r w:rsidR="001C0DC2">
        <w:t>”</w:t>
      </w:r>
      <w:r>
        <w:t>. This system allows for asynchronous interaction between and among students as well as the instructor. Each course had its own syllabus and learning materials ranging from articles to books. However, the basic communication tool used throughout the eight weeks in which the courses were offered was asynchronous online discussion threads. Through these threads, learners were able to post and edit their ideas, ask questions to other learners and the instructor.</w:t>
      </w:r>
      <w:r w:rsidR="00FF50C5">
        <w:t xml:space="preserve"> </w:t>
      </w:r>
      <w:r w:rsidR="00721A4B">
        <w:t xml:space="preserve">Table 1 below displays the </w:t>
      </w:r>
      <w:r w:rsidR="00357600">
        <w:t xml:space="preserve">descriptive </w:t>
      </w:r>
      <w:r w:rsidR="00721A4B">
        <w:t>information about each course:</w:t>
      </w:r>
    </w:p>
    <w:p w:rsidR="00721A4B" w:rsidRDefault="00EF4939" w:rsidP="005E3955">
      <w:pPr>
        <w:spacing w:after="0" w:line="240" w:lineRule="auto"/>
        <w:outlineLvl w:val="0"/>
      </w:pPr>
      <w:proofErr w:type="gramStart"/>
      <w:r>
        <w:t>Table 1.</w:t>
      </w:r>
      <w:proofErr w:type="gramEnd"/>
      <w:r>
        <w:t xml:space="preserve"> Description of Online Graduate Courses</w:t>
      </w:r>
    </w:p>
    <w:p w:rsidR="005E3955" w:rsidRDefault="005E3955" w:rsidP="005E3955">
      <w:pPr>
        <w:spacing w:after="0" w:line="240" w:lineRule="auto"/>
        <w:outlineLvl w:val="0"/>
      </w:pPr>
    </w:p>
    <w:tbl>
      <w:tblPr>
        <w:tblW w:w="0" w:type="auto"/>
        <w:tblBorders>
          <w:top w:val="single" w:sz="4" w:space="0" w:color="auto"/>
          <w:bottom w:val="single" w:sz="4" w:space="0" w:color="auto"/>
          <w:insideH w:val="single" w:sz="4" w:space="0" w:color="auto"/>
        </w:tblBorders>
        <w:tblLook w:val="00A0"/>
      </w:tblPr>
      <w:tblGrid>
        <w:gridCol w:w="3661"/>
        <w:gridCol w:w="5581"/>
      </w:tblGrid>
      <w:tr w:rsidR="00EF4939" w:rsidRPr="00CB13C0" w:rsidTr="00357600">
        <w:tc>
          <w:tcPr>
            <w:tcW w:w="3661" w:type="dxa"/>
          </w:tcPr>
          <w:p w:rsidR="00EF4939" w:rsidRPr="00CB13C0" w:rsidRDefault="00EF4939" w:rsidP="00C56140">
            <w:pPr>
              <w:spacing w:line="240" w:lineRule="auto"/>
              <w:rPr>
                <w:bCs/>
              </w:rPr>
            </w:pPr>
            <w:r w:rsidRPr="00CB13C0">
              <w:rPr>
                <w:bCs/>
              </w:rPr>
              <w:t xml:space="preserve">Course </w:t>
            </w:r>
          </w:p>
        </w:tc>
        <w:tc>
          <w:tcPr>
            <w:tcW w:w="5581" w:type="dxa"/>
          </w:tcPr>
          <w:p w:rsidR="00EF4939" w:rsidRPr="00CB13C0" w:rsidRDefault="00EF4939" w:rsidP="00C56140">
            <w:pPr>
              <w:spacing w:line="240" w:lineRule="auto"/>
              <w:rPr>
                <w:bCs/>
              </w:rPr>
            </w:pPr>
            <w:r w:rsidRPr="00CB13C0">
              <w:rPr>
                <w:bCs/>
              </w:rPr>
              <w:t>Description</w:t>
            </w:r>
          </w:p>
        </w:tc>
      </w:tr>
      <w:tr w:rsidR="00EF4939" w:rsidRPr="00CB13C0" w:rsidTr="00357600">
        <w:tc>
          <w:tcPr>
            <w:tcW w:w="3661" w:type="dxa"/>
          </w:tcPr>
          <w:p w:rsidR="00EF4939" w:rsidRPr="00CB13C0" w:rsidRDefault="009F6F64" w:rsidP="00C56140">
            <w:pPr>
              <w:spacing w:line="240" w:lineRule="auto"/>
              <w:rPr>
                <w:bCs/>
              </w:rPr>
            </w:pPr>
            <w:r w:rsidRPr="00CB13C0">
              <w:rPr>
                <w:bCs/>
              </w:rPr>
              <w:t>Learning Theories and Instructional Design</w:t>
            </w:r>
            <w:r>
              <w:rPr>
                <w:bCs/>
              </w:rPr>
              <w:t xml:space="preserve"> </w:t>
            </w:r>
          </w:p>
        </w:tc>
        <w:tc>
          <w:tcPr>
            <w:tcW w:w="5581" w:type="dxa"/>
          </w:tcPr>
          <w:p w:rsidR="00EF4939" w:rsidRPr="00CB13C0" w:rsidRDefault="009F6F64" w:rsidP="000D1BAF">
            <w:pPr>
              <w:spacing w:after="0" w:line="240" w:lineRule="auto"/>
              <w:ind w:firstLine="18"/>
              <w:rPr>
                <w:bCs/>
              </w:rPr>
            </w:pPr>
            <w:r w:rsidRPr="00CB13C0">
              <w:rPr>
                <w:bCs/>
              </w:rPr>
              <w:t>This course provides both theoretical and practical insights into learning theories and how they can be used to enhance instructional design process.</w:t>
            </w:r>
          </w:p>
        </w:tc>
      </w:tr>
      <w:tr w:rsidR="00EF4939" w:rsidRPr="00CB13C0" w:rsidTr="00357600">
        <w:tc>
          <w:tcPr>
            <w:tcW w:w="3661" w:type="dxa"/>
          </w:tcPr>
          <w:p w:rsidR="00EF4939" w:rsidRPr="00CB13C0" w:rsidRDefault="00A77F41" w:rsidP="00C56140">
            <w:pPr>
              <w:spacing w:line="240" w:lineRule="auto"/>
              <w:rPr>
                <w:bCs/>
              </w:rPr>
            </w:pPr>
            <w:r w:rsidRPr="00CB13C0">
              <w:rPr>
                <w:bCs/>
              </w:rPr>
              <w:t>Educational Applications of Hypermedia</w:t>
            </w:r>
            <w:r>
              <w:rPr>
                <w:bCs/>
              </w:rPr>
              <w:t xml:space="preserve"> </w:t>
            </w:r>
          </w:p>
        </w:tc>
        <w:tc>
          <w:tcPr>
            <w:tcW w:w="5581" w:type="dxa"/>
          </w:tcPr>
          <w:p w:rsidR="00EF4939" w:rsidRPr="00CB13C0" w:rsidRDefault="00A77F41" w:rsidP="000D1BAF">
            <w:pPr>
              <w:spacing w:after="0" w:line="240" w:lineRule="auto"/>
              <w:ind w:firstLine="18"/>
              <w:rPr>
                <w:bCs/>
              </w:rPr>
            </w:pPr>
            <w:r w:rsidRPr="00CB13C0">
              <w:rPr>
                <w:bCs/>
              </w:rPr>
              <w:t>Fueled by both theoretical points and research findings, this course includes creating hypermedia instructional materials.</w:t>
            </w:r>
          </w:p>
        </w:tc>
      </w:tr>
      <w:tr w:rsidR="00EF4939" w:rsidRPr="00CB13C0" w:rsidTr="00357600">
        <w:tc>
          <w:tcPr>
            <w:tcW w:w="3661" w:type="dxa"/>
          </w:tcPr>
          <w:p w:rsidR="00EF4939" w:rsidRDefault="00EF4939" w:rsidP="009A22D6">
            <w:pPr>
              <w:spacing w:after="0" w:line="240" w:lineRule="auto"/>
              <w:rPr>
                <w:bCs/>
              </w:rPr>
            </w:pPr>
            <w:r w:rsidRPr="00CB13C0">
              <w:rPr>
                <w:bCs/>
              </w:rPr>
              <w:t>Foundations of Distance Learning</w:t>
            </w:r>
          </w:p>
          <w:p w:rsidR="00EF4939" w:rsidRPr="00CB13C0" w:rsidRDefault="00EF4939" w:rsidP="009A22D6">
            <w:pPr>
              <w:spacing w:after="0" w:line="240" w:lineRule="auto"/>
              <w:rPr>
                <w:bCs/>
              </w:rPr>
            </w:pPr>
          </w:p>
        </w:tc>
        <w:tc>
          <w:tcPr>
            <w:tcW w:w="5581" w:type="dxa"/>
          </w:tcPr>
          <w:p w:rsidR="00EF4939" w:rsidRPr="00CB13C0" w:rsidRDefault="00EF4939" w:rsidP="000D1BAF">
            <w:pPr>
              <w:spacing w:after="0" w:line="240" w:lineRule="auto"/>
              <w:rPr>
                <w:bCs/>
              </w:rPr>
            </w:pPr>
            <w:r w:rsidRPr="00CB13C0">
              <w:rPr>
                <w:bCs/>
              </w:rPr>
              <w:t>Examining core concepts and principles of distance learning as well as theory and research, this course provides an introduction.</w:t>
            </w:r>
          </w:p>
        </w:tc>
      </w:tr>
    </w:tbl>
    <w:p w:rsidR="00D03D19" w:rsidRDefault="00D03D19" w:rsidP="00EA4312">
      <w:pPr>
        <w:spacing w:after="0" w:line="480" w:lineRule="auto"/>
        <w:outlineLvl w:val="0"/>
      </w:pPr>
    </w:p>
    <w:p w:rsidR="003275D8" w:rsidRPr="00477744" w:rsidRDefault="003275D8" w:rsidP="003275D8">
      <w:pPr>
        <w:spacing w:after="0" w:line="480" w:lineRule="auto"/>
        <w:outlineLvl w:val="0"/>
      </w:pPr>
      <w:r>
        <w:tab/>
      </w:r>
      <w:proofErr w:type="gramStart"/>
      <w:r>
        <w:rPr>
          <w:b/>
        </w:rPr>
        <w:t>Instruments.</w:t>
      </w:r>
      <w:proofErr w:type="gramEnd"/>
      <w:r>
        <w:rPr>
          <w:b/>
        </w:rPr>
        <w:t xml:space="preserve"> </w:t>
      </w:r>
      <w:r>
        <w:t>The following data collection instruments were used in the present study:</w:t>
      </w:r>
    </w:p>
    <w:p w:rsidR="003275D8" w:rsidRDefault="003275D8" w:rsidP="003275D8">
      <w:pPr>
        <w:spacing w:after="0" w:line="480" w:lineRule="auto"/>
        <w:ind w:firstLine="737"/>
        <w:outlineLvl w:val="0"/>
        <w:rPr>
          <w:color w:val="000000" w:themeColor="text1"/>
        </w:rPr>
      </w:pPr>
      <w:proofErr w:type="gramStart"/>
      <w:r>
        <w:rPr>
          <w:b/>
          <w:i/>
        </w:rPr>
        <w:t>Participant Profile.</w:t>
      </w:r>
      <w:proofErr w:type="gramEnd"/>
      <w:r>
        <w:rPr>
          <w:b/>
          <w:i/>
        </w:rPr>
        <w:t xml:space="preserve"> </w:t>
      </w:r>
      <w:r>
        <w:rPr>
          <w:color w:val="000000" w:themeColor="text1"/>
        </w:rPr>
        <w:t>Participants answered a short demographic survey asking for their gender, ethnicity, learning method preferred, number of online courses taken and computer proficiency.</w:t>
      </w:r>
      <w:r w:rsidRPr="00563C54">
        <w:rPr>
          <w:color w:val="000000" w:themeColor="text1"/>
        </w:rPr>
        <w:t xml:space="preserve"> </w:t>
      </w:r>
    </w:p>
    <w:p w:rsidR="003275D8" w:rsidRPr="00AD082F" w:rsidRDefault="003275D8" w:rsidP="003275D8">
      <w:pPr>
        <w:spacing w:after="0" w:line="480" w:lineRule="auto"/>
        <w:ind w:firstLine="737"/>
        <w:outlineLvl w:val="0"/>
      </w:pPr>
      <w:r w:rsidRPr="00A32B79">
        <w:rPr>
          <w:b/>
          <w:i/>
        </w:rPr>
        <w:t xml:space="preserve"> </w:t>
      </w:r>
      <w:proofErr w:type="gramStart"/>
      <w:r>
        <w:rPr>
          <w:b/>
          <w:i/>
        </w:rPr>
        <w:t>Motivation and Engagement Survey.</w:t>
      </w:r>
      <w:proofErr w:type="gramEnd"/>
      <w:r>
        <w:rPr>
          <w:b/>
          <w:i/>
        </w:rPr>
        <w:t xml:space="preserve"> </w:t>
      </w:r>
      <w:r>
        <w:t xml:space="preserve">After completing the participant profile, participants were asked to complete the motivation and engagement survey adapted from </w:t>
      </w:r>
      <w:proofErr w:type="spellStart"/>
      <w:r w:rsidRPr="002C58DF">
        <w:t>Guay</w:t>
      </w:r>
      <w:proofErr w:type="spellEnd"/>
      <w:r w:rsidRPr="002C58DF">
        <w:t xml:space="preserve">, </w:t>
      </w:r>
      <w:proofErr w:type="spellStart"/>
      <w:r w:rsidRPr="002C58DF">
        <w:t>Vallerand</w:t>
      </w:r>
      <w:proofErr w:type="spellEnd"/>
      <w:r w:rsidRPr="002C58DF">
        <w:t>, and Blanchard</w:t>
      </w:r>
      <w:r>
        <w:t>`s</w:t>
      </w:r>
      <w:r w:rsidRPr="002C58DF">
        <w:t xml:space="preserve"> (2000)</w:t>
      </w:r>
      <w:r>
        <w:t xml:space="preserve"> situational motivation scale</w:t>
      </w:r>
      <w:r w:rsidRPr="002C58DF">
        <w:t>.</w:t>
      </w:r>
      <w:r>
        <w:t xml:space="preserve"> There were 16 questions asking for why the participants would engage or participate in the online </w:t>
      </w:r>
      <w:r>
        <w:lastRenderedPageBreak/>
        <w:t xml:space="preserve">discussions based on a 7-point scale ranging from </w:t>
      </w:r>
      <w:r>
        <w:rPr>
          <w:i/>
        </w:rPr>
        <w:t>corresponds not all</w:t>
      </w:r>
      <w:r>
        <w:t xml:space="preserve"> (1) to </w:t>
      </w:r>
      <w:r>
        <w:rPr>
          <w:i/>
        </w:rPr>
        <w:t>corresponds exactly</w:t>
      </w:r>
      <w:r>
        <w:t xml:space="preserve"> (7).  </w:t>
      </w:r>
    </w:p>
    <w:p w:rsidR="003275D8" w:rsidRDefault="003275D8" w:rsidP="003275D8">
      <w:pPr>
        <w:spacing w:after="0" w:line="480" w:lineRule="auto"/>
        <w:ind w:firstLine="737"/>
        <w:outlineLvl w:val="0"/>
      </w:pPr>
      <w:proofErr w:type="gramStart"/>
      <w:r>
        <w:rPr>
          <w:b/>
          <w:i/>
        </w:rPr>
        <w:t>Self-efficacy Survey</w:t>
      </w:r>
      <w:r w:rsidRPr="00A32B79">
        <w:rPr>
          <w:b/>
          <w:i/>
        </w:rPr>
        <w:t>.</w:t>
      </w:r>
      <w:proofErr w:type="gramEnd"/>
      <w:r>
        <w:rPr>
          <w:b/>
          <w:i/>
        </w:rPr>
        <w:t xml:space="preserve"> </w:t>
      </w:r>
      <w:r>
        <w:t xml:space="preserve">For the purposes of the present study, self-efficacy was operationalized from the perspective of knowledge sharing. Consequently, the knowledge-sharing self-efficacy instrument developed by Hsu, </w:t>
      </w:r>
      <w:proofErr w:type="spellStart"/>
      <w:r>
        <w:t>Ju</w:t>
      </w:r>
      <w:proofErr w:type="spellEnd"/>
      <w:r>
        <w:t xml:space="preserve">, Yen, and Chang (2007) was used. This survey comprises seven items or questions based on a scale that ranges from </w:t>
      </w:r>
      <w:r w:rsidR="004E5F1F">
        <w:rPr>
          <w:i/>
        </w:rPr>
        <w:t xml:space="preserve">not at all confident </w:t>
      </w:r>
      <w:r w:rsidR="004E5F1F">
        <w:t>(</w:t>
      </w:r>
      <w:r w:rsidR="00900484">
        <w:t>1</w:t>
      </w:r>
      <w:r w:rsidR="004E5F1F">
        <w:t xml:space="preserve">) </w:t>
      </w:r>
      <w:r>
        <w:t xml:space="preserve">to </w:t>
      </w:r>
      <w:r w:rsidR="004E5F1F">
        <w:rPr>
          <w:i/>
        </w:rPr>
        <w:t xml:space="preserve">extremely confident </w:t>
      </w:r>
      <w:r w:rsidR="004E5F1F">
        <w:t>(</w:t>
      </w:r>
      <w:r w:rsidR="00900484">
        <w:t>7</w:t>
      </w:r>
      <w:r w:rsidR="004E5F1F">
        <w:t>)</w:t>
      </w:r>
      <w:r>
        <w:t>. These</w:t>
      </w:r>
      <w:r w:rsidR="004E5F1F">
        <w:t xml:space="preserve"> asked participants to indicate</w:t>
      </w:r>
      <w:r>
        <w:t xml:space="preserve"> their level of confidence in taking certain actions </w:t>
      </w:r>
      <w:r w:rsidR="00F80FDF">
        <w:t xml:space="preserve">such as articulating oneself or authoring an article </w:t>
      </w:r>
      <w:r>
        <w:t xml:space="preserve">under </w:t>
      </w:r>
      <w:r w:rsidR="00F80FDF">
        <w:t xml:space="preserve">conditions ranging from </w:t>
      </w:r>
      <w:r w:rsidR="008141C2">
        <w:t xml:space="preserve">while interacting with others to </w:t>
      </w:r>
      <w:r w:rsidR="00242958">
        <w:t>while participating in discussions</w:t>
      </w:r>
      <w:r>
        <w:t>.</w:t>
      </w:r>
      <w:r w:rsidR="00242958">
        <w:t xml:space="preserve"> </w:t>
      </w:r>
    </w:p>
    <w:p w:rsidR="003269FA" w:rsidRDefault="003269FA" w:rsidP="003269FA">
      <w:pPr>
        <w:spacing w:after="0" w:line="480" w:lineRule="auto"/>
        <w:outlineLvl w:val="0"/>
        <w:rPr>
          <w:color w:val="000000" w:themeColor="text1"/>
        </w:rPr>
      </w:pPr>
      <w:r>
        <w:rPr>
          <w:b/>
        </w:rPr>
        <w:tab/>
      </w:r>
      <w:proofErr w:type="gramStart"/>
      <w:r>
        <w:rPr>
          <w:b/>
        </w:rPr>
        <w:t xml:space="preserve">Data collection and </w:t>
      </w:r>
      <w:r w:rsidRPr="002E3C94">
        <w:rPr>
          <w:b/>
        </w:rPr>
        <w:t>Procedure</w:t>
      </w:r>
      <w:r>
        <w:rPr>
          <w:b/>
        </w:rPr>
        <w:t>s.</w:t>
      </w:r>
      <w:proofErr w:type="gramEnd"/>
      <w:r>
        <w:rPr>
          <w:i/>
        </w:rPr>
        <w:t xml:space="preserve"> </w:t>
      </w:r>
      <w:r>
        <w:t xml:space="preserve">First of all, since some of the instruments were adapted, </w:t>
      </w:r>
      <w:r>
        <w:rPr>
          <w:color w:val="000000" w:themeColor="text1"/>
        </w:rPr>
        <w:t>these</w:t>
      </w:r>
      <w:r w:rsidRPr="00B53FD1">
        <w:rPr>
          <w:color w:val="000000" w:themeColor="text1"/>
        </w:rPr>
        <w:t xml:space="preserve"> were piloted with </w:t>
      </w:r>
      <w:r w:rsidR="00F62925">
        <w:rPr>
          <w:color w:val="000000" w:themeColor="text1"/>
        </w:rPr>
        <w:t>four</w:t>
      </w:r>
      <w:r>
        <w:rPr>
          <w:color w:val="000000" w:themeColor="text1"/>
        </w:rPr>
        <w:t xml:space="preserve"> American college </w:t>
      </w:r>
      <w:proofErr w:type="gramStart"/>
      <w:r>
        <w:rPr>
          <w:color w:val="000000" w:themeColor="text1"/>
        </w:rPr>
        <w:t>student</w:t>
      </w:r>
      <w:proofErr w:type="gramEnd"/>
      <w:r>
        <w:rPr>
          <w:color w:val="000000" w:themeColor="text1"/>
        </w:rPr>
        <w:t xml:space="preserve"> enrolling at a large Midwest US university.</w:t>
      </w:r>
      <w:r w:rsidRPr="00B53FD1">
        <w:rPr>
          <w:color w:val="000000" w:themeColor="text1"/>
        </w:rPr>
        <w:t xml:space="preserve"> </w:t>
      </w:r>
      <w:r>
        <w:rPr>
          <w:color w:val="000000" w:themeColor="text1"/>
        </w:rPr>
        <w:t>The purpose was to</w:t>
      </w:r>
      <w:r w:rsidRPr="00B53FD1">
        <w:rPr>
          <w:color w:val="000000" w:themeColor="text1"/>
        </w:rPr>
        <w:t xml:space="preserve"> determine the comprehensibility of the </w:t>
      </w:r>
      <w:r>
        <w:rPr>
          <w:color w:val="000000" w:themeColor="text1"/>
        </w:rPr>
        <w:t xml:space="preserve">items of the instruments </w:t>
      </w:r>
      <w:r w:rsidRPr="00B53FD1">
        <w:rPr>
          <w:color w:val="000000" w:themeColor="text1"/>
        </w:rPr>
        <w:t xml:space="preserve">in terms of vocabulary, </w:t>
      </w:r>
      <w:r>
        <w:rPr>
          <w:color w:val="000000" w:themeColor="text1"/>
        </w:rPr>
        <w:t>wording and grammaticality</w:t>
      </w:r>
      <w:r w:rsidR="00F62925">
        <w:rPr>
          <w:color w:val="000000" w:themeColor="text1"/>
        </w:rPr>
        <w:t xml:space="preserve"> as well as any possibility of a floor effect. </w:t>
      </w:r>
      <w:r>
        <w:rPr>
          <w:color w:val="000000" w:themeColor="text1"/>
        </w:rPr>
        <w:t>This pilot study revealed the need to modify some of the items included in the instruments</w:t>
      </w:r>
      <w:r w:rsidR="00E74D96">
        <w:rPr>
          <w:color w:val="000000" w:themeColor="text1"/>
        </w:rPr>
        <w:t xml:space="preserve"> at the word level only.</w:t>
      </w:r>
    </w:p>
    <w:p w:rsidR="00195755" w:rsidRDefault="00195755" w:rsidP="00195755">
      <w:pPr>
        <w:spacing w:after="0" w:line="480" w:lineRule="auto"/>
        <w:ind w:firstLine="708"/>
        <w:outlineLvl w:val="0"/>
        <w:rPr>
          <w:color w:val="000000" w:themeColor="text1"/>
        </w:rPr>
      </w:pPr>
      <w:r>
        <w:rPr>
          <w:color w:val="000000" w:themeColor="text1"/>
        </w:rPr>
        <w:t>Both during the pilot study and actual data collection, the researchers were absent in that the participants were sent emails to participate in the study and fill in the surveys in the given order. P</w:t>
      </w:r>
      <w:r w:rsidRPr="00B53FD1">
        <w:rPr>
          <w:color w:val="000000" w:themeColor="text1"/>
        </w:rPr>
        <w:t>articipants were asked to sign a consent form</w:t>
      </w:r>
      <w:r>
        <w:rPr>
          <w:color w:val="000000" w:themeColor="text1"/>
        </w:rPr>
        <w:t xml:space="preserve"> before the data collection</w:t>
      </w:r>
      <w:r w:rsidRPr="00B53FD1">
        <w:rPr>
          <w:color w:val="000000" w:themeColor="text1"/>
        </w:rPr>
        <w:t>.</w:t>
      </w:r>
      <w:r w:rsidRPr="00B53FD1">
        <w:t xml:space="preserve"> </w:t>
      </w:r>
      <w:r w:rsidRPr="00B53FD1">
        <w:rPr>
          <w:color w:val="000000" w:themeColor="text1"/>
        </w:rPr>
        <w:t xml:space="preserve">The data were collected </w:t>
      </w:r>
      <w:r>
        <w:rPr>
          <w:color w:val="000000" w:themeColor="text1"/>
        </w:rPr>
        <w:t>in the middle of the semester when the courses were still going on</w:t>
      </w:r>
      <w:r w:rsidRPr="00B53FD1">
        <w:rPr>
          <w:color w:val="000000" w:themeColor="text1"/>
        </w:rPr>
        <w:t xml:space="preserve">. </w:t>
      </w:r>
      <w:r>
        <w:rPr>
          <w:color w:val="000000" w:themeColor="text1"/>
        </w:rPr>
        <w:t>Participants were asked to not talk about the content of the experiment with other participants they might know. The participants first completed the participant profile. Then, they took the the motivation instrument, and the self-efficacy scale. Overall, the experiment took a participant almost half an hour to complete the surveys.</w:t>
      </w:r>
    </w:p>
    <w:p w:rsidR="001D38E6" w:rsidRDefault="001D38E6" w:rsidP="001D38E6">
      <w:pPr>
        <w:spacing w:after="0" w:line="480" w:lineRule="auto"/>
        <w:ind w:firstLine="737"/>
        <w:outlineLvl w:val="0"/>
      </w:pPr>
      <w:proofErr w:type="gramStart"/>
      <w:r>
        <w:rPr>
          <w:b/>
        </w:rPr>
        <w:t>Data Analysis.</w:t>
      </w:r>
      <w:proofErr w:type="gramEnd"/>
      <w:r>
        <w:rPr>
          <w:b/>
        </w:rPr>
        <w:t xml:space="preserve"> </w:t>
      </w:r>
      <w:r>
        <w:t xml:space="preserve">Both </w:t>
      </w:r>
      <w:r w:rsidR="00902FF8">
        <w:t>instructor partic</w:t>
      </w:r>
      <w:r w:rsidR="00F01254">
        <w:t>i</w:t>
      </w:r>
      <w:r w:rsidR="00902FF8">
        <w:t>pation</w:t>
      </w:r>
      <w:r w:rsidR="0029104E">
        <w:t xml:space="preserve"> styles</w:t>
      </w:r>
      <w:r>
        <w:t xml:space="preserve"> and the presences </w:t>
      </w:r>
      <w:r w:rsidR="006F2471">
        <w:t>were</w:t>
      </w:r>
      <w:r>
        <w:t xml:space="preserve"> </w:t>
      </w:r>
      <w:r w:rsidR="006F2471">
        <w:t>determined</w:t>
      </w:r>
      <w:r>
        <w:t xml:space="preserve"> through a content analysis based on an analysis of the online discussion postings of the </w:t>
      </w:r>
      <w:r>
        <w:lastRenderedPageBreak/>
        <w:t>learners and instructors. At the beginning, a negotiated coding section was held in which all both of the scoring researchers participated. The aim was to train each other in scoring student postings by reaching consensus. This section continued intermittently until a consensus of at least 80% was reached between and among all the researchers.</w:t>
      </w:r>
    </w:p>
    <w:p w:rsidR="00C56140" w:rsidRDefault="001D38E6" w:rsidP="001D38E6">
      <w:pPr>
        <w:spacing w:after="0" w:line="480" w:lineRule="auto"/>
        <w:ind w:firstLine="737"/>
        <w:outlineLvl w:val="0"/>
      </w:pPr>
      <w:r>
        <w:t xml:space="preserve">Four groups of researchers in pairs independently score the </w:t>
      </w:r>
      <w:r w:rsidR="00C56140">
        <w:t xml:space="preserve">discussion </w:t>
      </w:r>
      <w:r>
        <w:t xml:space="preserve">postings based on </w:t>
      </w:r>
      <w:proofErr w:type="spellStart"/>
      <w:r>
        <w:t>Wosley`s</w:t>
      </w:r>
      <w:proofErr w:type="spellEnd"/>
      <w:r>
        <w:t xml:space="preserve"> (2008) classification of instructor feedback on online written assignments. This classification included ten categories ranging from </w:t>
      </w:r>
      <w:r>
        <w:rPr>
          <w:i/>
        </w:rPr>
        <w:t xml:space="preserve">simple affirmations </w:t>
      </w:r>
      <w:r>
        <w:t xml:space="preserve">(1) to </w:t>
      </w:r>
      <w:r>
        <w:rPr>
          <w:i/>
        </w:rPr>
        <w:t xml:space="preserve">aggressive questioning </w:t>
      </w:r>
      <w:r>
        <w:t xml:space="preserve">(10) on an increasing continuum. There were a total of 100 online discussion postings. Each researcher pair`s job was to score 25 postings based on </w:t>
      </w:r>
      <w:proofErr w:type="spellStart"/>
      <w:r>
        <w:t>Wosley`s</w:t>
      </w:r>
      <w:proofErr w:type="spellEnd"/>
      <w:r>
        <w:t xml:space="preserve"> (2008) classification by assigning numbers 1 to 10 to each posting. Researchers in each pair also scored the postings independently of each other. Then, each researcher’s scorings were correlated with those of the other researcher who participated in the same pair. These produced the </w:t>
      </w:r>
      <w:r w:rsidR="00B21DA8">
        <w:t>inter-rater reliability indexes in addition to</w:t>
      </w:r>
      <w:r>
        <w:t xml:space="preserve"> </w:t>
      </w:r>
      <w:proofErr w:type="spellStart"/>
      <w:r w:rsidR="007866B6">
        <w:t>Holsti`s</w:t>
      </w:r>
      <w:proofErr w:type="spellEnd"/>
      <w:r w:rsidR="007866B6">
        <w:t xml:space="preserve"> (1969)</w:t>
      </w:r>
      <w:r w:rsidR="00056034">
        <w:t xml:space="preserve"> reliability </w:t>
      </w:r>
      <w:r w:rsidR="00B21DA8">
        <w:t xml:space="preserve">coefficient, </w:t>
      </w:r>
      <w:r w:rsidR="00056034">
        <w:t xml:space="preserve">the ratio of the double the number of </w:t>
      </w:r>
      <w:r w:rsidR="008916BC">
        <w:t>coding agreements between to coders to the total of</w:t>
      </w:r>
      <w:r w:rsidR="007866B6">
        <w:t xml:space="preserve"> </w:t>
      </w:r>
      <w:r w:rsidR="008916BC">
        <w:t>coding decisions made</w:t>
      </w:r>
      <w:r w:rsidR="00B21DA8">
        <w:t xml:space="preserve"> (</w:t>
      </w:r>
      <w:proofErr w:type="spellStart"/>
      <w:r w:rsidR="00B21DA8">
        <w:t>Rourke</w:t>
      </w:r>
      <w:proofErr w:type="spellEnd"/>
      <w:r w:rsidR="00B21DA8">
        <w:t xml:space="preserve"> et al., 1999)</w:t>
      </w:r>
      <w:r w:rsidR="008916BC">
        <w:t xml:space="preserve">. </w:t>
      </w:r>
      <w:r>
        <w:t xml:space="preserve">As for intra-rater reliability, each researchers scoring of the same category during the negotiated coding section was again correlated with their scoring of the same category included in the research data. </w:t>
      </w:r>
    </w:p>
    <w:p w:rsidR="00A43715" w:rsidRDefault="00A43715" w:rsidP="001D38E6">
      <w:pPr>
        <w:spacing w:after="0" w:line="480" w:lineRule="auto"/>
        <w:ind w:firstLine="737"/>
        <w:outlineLvl w:val="0"/>
      </w:pPr>
      <w:r>
        <w:t xml:space="preserve">Furthermore, content analysis of the discussion postings in terms of teaching, social and cognitive presences was done based on specific indicators </w:t>
      </w:r>
      <w:r w:rsidR="00F01254">
        <w:t>for</w:t>
      </w:r>
      <w:r>
        <w:t xml:space="preserve"> each presence. </w:t>
      </w:r>
      <w:r w:rsidR="009125E3">
        <w:t xml:space="preserve">The indicators determined by </w:t>
      </w:r>
      <w:proofErr w:type="spellStart"/>
      <w:r w:rsidR="009125E3">
        <w:t>Akyol</w:t>
      </w:r>
      <w:proofErr w:type="spellEnd"/>
      <w:r w:rsidR="009125E3">
        <w:t xml:space="preserve"> and Garrison (2008) were used for this purpose</w:t>
      </w:r>
      <w:r w:rsidR="006E1C66">
        <w:t xml:space="preserve"> as shown by the tables </w:t>
      </w:r>
      <w:r w:rsidR="009125E3">
        <w:t xml:space="preserve">below </w:t>
      </w:r>
      <w:r w:rsidR="006E1C66">
        <w:t>in an adapted form</w:t>
      </w:r>
      <w:r w:rsidR="002D5031">
        <w:t>at</w:t>
      </w:r>
      <w:r w:rsidR="006E1C66">
        <w:t xml:space="preserve"> from </w:t>
      </w:r>
      <w:proofErr w:type="spellStart"/>
      <w:r w:rsidR="006E1C66">
        <w:t>Akyol</w:t>
      </w:r>
      <w:proofErr w:type="spellEnd"/>
      <w:r w:rsidR="006E1C66">
        <w:t xml:space="preserve"> and Garrison (2008, p. 4)</w:t>
      </w:r>
      <w:r w:rsidR="009125E3">
        <w:t>:</w:t>
      </w:r>
    </w:p>
    <w:p w:rsidR="00341411" w:rsidRDefault="006A1C00" w:rsidP="006A1C00">
      <w:pPr>
        <w:spacing w:after="0" w:line="240" w:lineRule="auto"/>
        <w:outlineLvl w:val="0"/>
      </w:pPr>
      <w:proofErr w:type="gramStart"/>
      <w:r>
        <w:t>Table 2.</w:t>
      </w:r>
      <w:proofErr w:type="gramEnd"/>
      <w:r>
        <w:t xml:space="preserve"> Teaching Presence Indicators</w:t>
      </w:r>
    </w:p>
    <w:p w:rsidR="00341411" w:rsidRDefault="00341411" w:rsidP="006A1C00">
      <w:pPr>
        <w:spacing w:after="0" w:line="240" w:lineRule="auto"/>
        <w:outlineLvl w:val="0"/>
      </w:pPr>
    </w:p>
    <w:tbl>
      <w:tblPr>
        <w:tblStyle w:val="TabloKlavuzu"/>
        <w:tblW w:w="0" w:type="auto"/>
        <w:tblBorders>
          <w:left w:val="none" w:sz="0" w:space="0" w:color="auto"/>
          <w:right w:val="none" w:sz="0" w:space="0" w:color="auto"/>
          <w:insideV w:val="none" w:sz="0" w:space="0" w:color="auto"/>
        </w:tblBorders>
        <w:tblLook w:val="04A0"/>
      </w:tblPr>
      <w:tblGrid>
        <w:gridCol w:w="3080"/>
        <w:gridCol w:w="3081"/>
        <w:gridCol w:w="3081"/>
      </w:tblGrid>
      <w:tr w:rsidR="006A1C00" w:rsidTr="00A94A06">
        <w:tc>
          <w:tcPr>
            <w:tcW w:w="3080" w:type="dxa"/>
          </w:tcPr>
          <w:p w:rsidR="006A1C00" w:rsidRDefault="006A1C00" w:rsidP="006A1C00">
            <w:pPr>
              <w:outlineLvl w:val="0"/>
            </w:pPr>
            <w:r>
              <w:t>Presence</w:t>
            </w:r>
          </w:p>
        </w:tc>
        <w:tc>
          <w:tcPr>
            <w:tcW w:w="3081" w:type="dxa"/>
          </w:tcPr>
          <w:p w:rsidR="006A1C00" w:rsidRDefault="006A1C00" w:rsidP="006A1C00">
            <w:pPr>
              <w:outlineLvl w:val="0"/>
            </w:pPr>
            <w:r>
              <w:t>Component</w:t>
            </w:r>
          </w:p>
        </w:tc>
        <w:tc>
          <w:tcPr>
            <w:tcW w:w="3081" w:type="dxa"/>
          </w:tcPr>
          <w:p w:rsidR="006A1C00" w:rsidRDefault="006A1C00" w:rsidP="006A1C00">
            <w:pPr>
              <w:outlineLvl w:val="0"/>
            </w:pPr>
            <w:r>
              <w:t>Indicators</w:t>
            </w:r>
          </w:p>
        </w:tc>
      </w:tr>
      <w:tr w:rsidR="00A94A06" w:rsidTr="00A94A06">
        <w:tc>
          <w:tcPr>
            <w:tcW w:w="3080" w:type="dxa"/>
            <w:vMerge w:val="restart"/>
          </w:tcPr>
          <w:p w:rsidR="00A94A06" w:rsidRDefault="00A94A06" w:rsidP="006A1C00">
            <w:pPr>
              <w:outlineLvl w:val="0"/>
            </w:pPr>
          </w:p>
          <w:p w:rsidR="00A94A06" w:rsidRDefault="00A94A06" w:rsidP="006A1C00">
            <w:pPr>
              <w:outlineLvl w:val="0"/>
            </w:pPr>
          </w:p>
          <w:p w:rsidR="00A94A06" w:rsidRDefault="00A94A06" w:rsidP="006A1C00">
            <w:pPr>
              <w:outlineLvl w:val="0"/>
            </w:pPr>
            <w:r>
              <w:t>Teaching presence</w:t>
            </w:r>
          </w:p>
        </w:tc>
        <w:tc>
          <w:tcPr>
            <w:tcW w:w="3081" w:type="dxa"/>
          </w:tcPr>
          <w:p w:rsidR="00A94A06" w:rsidRDefault="00A94A06" w:rsidP="006A1C00">
            <w:pPr>
              <w:outlineLvl w:val="0"/>
            </w:pPr>
            <w:r>
              <w:t>Design and organization</w:t>
            </w:r>
          </w:p>
        </w:tc>
        <w:tc>
          <w:tcPr>
            <w:tcW w:w="3081" w:type="dxa"/>
          </w:tcPr>
          <w:p w:rsidR="00A94A06" w:rsidRDefault="00A94A06" w:rsidP="006A1C00">
            <w:pPr>
              <w:outlineLvl w:val="0"/>
            </w:pPr>
            <w:r>
              <w:t>Setting curriculum/methods</w:t>
            </w:r>
          </w:p>
        </w:tc>
      </w:tr>
      <w:tr w:rsidR="00A94A06" w:rsidTr="00A94A06">
        <w:tc>
          <w:tcPr>
            <w:tcW w:w="3080" w:type="dxa"/>
            <w:vMerge/>
          </w:tcPr>
          <w:p w:rsidR="00A94A06" w:rsidRDefault="00A94A06" w:rsidP="006A1C00">
            <w:pPr>
              <w:outlineLvl w:val="0"/>
            </w:pPr>
          </w:p>
        </w:tc>
        <w:tc>
          <w:tcPr>
            <w:tcW w:w="3081" w:type="dxa"/>
          </w:tcPr>
          <w:p w:rsidR="00A94A06" w:rsidRDefault="00A94A06" w:rsidP="006A1C00">
            <w:pPr>
              <w:outlineLvl w:val="0"/>
            </w:pPr>
            <w:r>
              <w:t>Facilitating discourse</w:t>
            </w:r>
          </w:p>
        </w:tc>
        <w:tc>
          <w:tcPr>
            <w:tcW w:w="3081" w:type="dxa"/>
          </w:tcPr>
          <w:p w:rsidR="00A94A06" w:rsidRDefault="00A94A06" w:rsidP="006A1C00">
            <w:pPr>
              <w:outlineLvl w:val="0"/>
            </w:pPr>
            <w:r>
              <w:t>Shaping constructive exchange</w:t>
            </w:r>
          </w:p>
        </w:tc>
      </w:tr>
      <w:tr w:rsidR="00A94A06" w:rsidTr="00A94A06">
        <w:tc>
          <w:tcPr>
            <w:tcW w:w="3080" w:type="dxa"/>
            <w:vMerge/>
          </w:tcPr>
          <w:p w:rsidR="00A94A06" w:rsidRDefault="00A94A06" w:rsidP="006A1C00">
            <w:pPr>
              <w:outlineLvl w:val="0"/>
            </w:pPr>
          </w:p>
        </w:tc>
        <w:tc>
          <w:tcPr>
            <w:tcW w:w="3081" w:type="dxa"/>
          </w:tcPr>
          <w:p w:rsidR="00A94A06" w:rsidRDefault="00A94A06" w:rsidP="006A1C00">
            <w:pPr>
              <w:outlineLvl w:val="0"/>
            </w:pPr>
            <w:r>
              <w:t>Direct instruction</w:t>
            </w:r>
          </w:p>
        </w:tc>
        <w:tc>
          <w:tcPr>
            <w:tcW w:w="3081" w:type="dxa"/>
          </w:tcPr>
          <w:p w:rsidR="00A94A06" w:rsidRDefault="00A94A06" w:rsidP="006A1C00">
            <w:pPr>
              <w:outlineLvl w:val="0"/>
            </w:pPr>
            <w:r>
              <w:t>Focusing and resolving issues</w:t>
            </w:r>
          </w:p>
        </w:tc>
      </w:tr>
    </w:tbl>
    <w:p w:rsidR="00341411" w:rsidRDefault="006E1C66" w:rsidP="006A1C00">
      <w:pPr>
        <w:spacing w:after="0" w:line="240" w:lineRule="auto"/>
        <w:outlineLvl w:val="0"/>
      </w:pPr>
      <w:proofErr w:type="gramStart"/>
      <w:r>
        <w:lastRenderedPageBreak/>
        <w:t>Table 3.</w:t>
      </w:r>
      <w:proofErr w:type="gramEnd"/>
      <w:r>
        <w:t xml:space="preserve"> Social Presence Indicators</w:t>
      </w:r>
    </w:p>
    <w:p w:rsidR="00341411" w:rsidRDefault="00341411" w:rsidP="006A1C00">
      <w:pPr>
        <w:spacing w:after="0" w:line="240" w:lineRule="auto"/>
        <w:outlineLvl w:val="0"/>
      </w:pPr>
    </w:p>
    <w:tbl>
      <w:tblPr>
        <w:tblStyle w:val="TabloKlavuzu"/>
        <w:tblW w:w="0" w:type="auto"/>
        <w:tblBorders>
          <w:left w:val="none" w:sz="0" w:space="0" w:color="auto"/>
          <w:right w:val="none" w:sz="0" w:space="0" w:color="auto"/>
          <w:insideV w:val="none" w:sz="0" w:space="0" w:color="auto"/>
        </w:tblBorders>
        <w:tblLook w:val="04A0"/>
      </w:tblPr>
      <w:tblGrid>
        <w:gridCol w:w="3080"/>
        <w:gridCol w:w="3081"/>
        <w:gridCol w:w="3081"/>
      </w:tblGrid>
      <w:tr w:rsidR="006E1C66" w:rsidTr="005E0057">
        <w:tc>
          <w:tcPr>
            <w:tcW w:w="3080" w:type="dxa"/>
          </w:tcPr>
          <w:p w:rsidR="006E1C66" w:rsidRDefault="006E1C66" w:rsidP="005E0057">
            <w:pPr>
              <w:outlineLvl w:val="0"/>
            </w:pPr>
            <w:r>
              <w:t>Presence</w:t>
            </w:r>
          </w:p>
        </w:tc>
        <w:tc>
          <w:tcPr>
            <w:tcW w:w="3081" w:type="dxa"/>
          </w:tcPr>
          <w:p w:rsidR="006E1C66" w:rsidRDefault="006E1C66" w:rsidP="005E0057">
            <w:pPr>
              <w:outlineLvl w:val="0"/>
            </w:pPr>
            <w:r>
              <w:t>Component</w:t>
            </w:r>
          </w:p>
        </w:tc>
        <w:tc>
          <w:tcPr>
            <w:tcW w:w="3081" w:type="dxa"/>
          </w:tcPr>
          <w:p w:rsidR="006E1C66" w:rsidRDefault="006E1C66" w:rsidP="005E0057">
            <w:pPr>
              <w:outlineLvl w:val="0"/>
            </w:pPr>
            <w:r>
              <w:t>Indicators</w:t>
            </w:r>
          </w:p>
        </w:tc>
      </w:tr>
      <w:tr w:rsidR="006E1C66" w:rsidTr="005E0057">
        <w:tc>
          <w:tcPr>
            <w:tcW w:w="3080" w:type="dxa"/>
            <w:vMerge w:val="restart"/>
          </w:tcPr>
          <w:p w:rsidR="006E1C66" w:rsidRDefault="006E1C66" w:rsidP="005E0057">
            <w:pPr>
              <w:outlineLvl w:val="0"/>
            </w:pPr>
          </w:p>
          <w:p w:rsidR="006E1C66" w:rsidRDefault="006E1C66" w:rsidP="005E0057">
            <w:pPr>
              <w:outlineLvl w:val="0"/>
            </w:pPr>
            <w:r>
              <w:t>Social presence</w:t>
            </w:r>
          </w:p>
        </w:tc>
        <w:tc>
          <w:tcPr>
            <w:tcW w:w="3081" w:type="dxa"/>
          </w:tcPr>
          <w:p w:rsidR="006E1C66" w:rsidRDefault="00004D4E" w:rsidP="005E0057">
            <w:pPr>
              <w:outlineLvl w:val="0"/>
            </w:pPr>
            <w:r>
              <w:t>Open communication</w:t>
            </w:r>
          </w:p>
        </w:tc>
        <w:tc>
          <w:tcPr>
            <w:tcW w:w="3081" w:type="dxa"/>
          </w:tcPr>
          <w:p w:rsidR="006E1C66" w:rsidRDefault="00004D4E" w:rsidP="005E0057">
            <w:pPr>
              <w:outlineLvl w:val="0"/>
            </w:pPr>
            <w:r>
              <w:t>Risk-free or learning atmosphere-free expression</w:t>
            </w:r>
          </w:p>
        </w:tc>
      </w:tr>
      <w:tr w:rsidR="006E1C66" w:rsidTr="005E0057">
        <w:tc>
          <w:tcPr>
            <w:tcW w:w="3080" w:type="dxa"/>
            <w:vMerge/>
          </w:tcPr>
          <w:p w:rsidR="006E1C66" w:rsidRDefault="006E1C66" w:rsidP="005E0057">
            <w:pPr>
              <w:outlineLvl w:val="0"/>
            </w:pPr>
          </w:p>
        </w:tc>
        <w:tc>
          <w:tcPr>
            <w:tcW w:w="3081" w:type="dxa"/>
          </w:tcPr>
          <w:p w:rsidR="006E1C66" w:rsidRDefault="00004D4E" w:rsidP="005E0057">
            <w:pPr>
              <w:outlineLvl w:val="0"/>
            </w:pPr>
            <w:r>
              <w:t>Group cohesion</w:t>
            </w:r>
          </w:p>
        </w:tc>
        <w:tc>
          <w:tcPr>
            <w:tcW w:w="3081" w:type="dxa"/>
          </w:tcPr>
          <w:p w:rsidR="006E1C66" w:rsidRDefault="00004D4E" w:rsidP="005E0057">
            <w:pPr>
              <w:outlineLvl w:val="0"/>
            </w:pPr>
            <w:r>
              <w:t>Group identity/collaboration</w:t>
            </w:r>
          </w:p>
        </w:tc>
      </w:tr>
      <w:tr w:rsidR="006E1C66" w:rsidTr="005E0057">
        <w:tc>
          <w:tcPr>
            <w:tcW w:w="3080" w:type="dxa"/>
            <w:vMerge/>
          </w:tcPr>
          <w:p w:rsidR="006E1C66" w:rsidRDefault="006E1C66" w:rsidP="005E0057">
            <w:pPr>
              <w:outlineLvl w:val="0"/>
            </w:pPr>
          </w:p>
        </w:tc>
        <w:tc>
          <w:tcPr>
            <w:tcW w:w="3081" w:type="dxa"/>
          </w:tcPr>
          <w:p w:rsidR="006E1C66" w:rsidRDefault="00004D4E" w:rsidP="005E0057">
            <w:pPr>
              <w:outlineLvl w:val="0"/>
            </w:pPr>
            <w:r>
              <w:t>Personal/affective</w:t>
            </w:r>
          </w:p>
        </w:tc>
        <w:tc>
          <w:tcPr>
            <w:tcW w:w="3081" w:type="dxa"/>
          </w:tcPr>
          <w:p w:rsidR="006E1C66" w:rsidRDefault="00004D4E" w:rsidP="005E0057">
            <w:pPr>
              <w:outlineLvl w:val="0"/>
            </w:pPr>
            <w:r>
              <w:t>Self-expression emotions</w:t>
            </w:r>
          </w:p>
        </w:tc>
      </w:tr>
    </w:tbl>
    <w:p w:rsidR="005B31A5" w:rsidRDefault="005B31A5" w:rsidP="00E82A8A">
      <w:pPr>
        <w:spacing w:after="0" w:line="240" w:lineRule="auto"/>
        <w:outlineLvl w:val="0"/>
      </w:pPr>
    </w:p>
    <w:p w:rsidR="00E82A8A" w:rsidRDefault="00E82A8A" w:rsidP="00E82A8A">
      <w:pPr>
        <w:spacing w:after="0" w:line="240" w:lineRule="auto"/>
        <w:outlineLvl w:val="0"/>
      </w:pPr>
      <w:proofErr w:type="gramStart"/>
      <w:r>
        <w:t>Table 4.</w:t>
      </w:r>
      <w:proofErr w:type="gramEnd"/>
      <w:r>
        <w:t xml:space="preserve"> Cognitive Presence Indicators</w:t>
      </w:r>
    </w:p>
    <w:p w:rsidR="00341411" w:rsidRDefault="00341411" w:rsidP="00E82A8A">
      <w:pPr>
        <w:spacing w:after="0" w:line="240" w:lineRule="auto"/>
        <w:outlineLvl w:val="0"/>
      </w:pPr>
    </w:p>
    <w:tbl>
      <w:tblPr>
        <w:tblStyle w:val="TabloKlavuzu"/>
        <w:tblW w:w="0" w:type="auto"/>
        <w:tblBorders>
          <w:left w:val="none" w:sz="0" w:space="0" w:color="auto"/>
          <w:right w:val="none" w:sz="0" w:space="0" w:color="auto"/>
          <w:insideV w:val="none" w:sz="0" w:space="0" w:color="auto"/>
        </w:tblBorders>
        <w:tblLook w:val="04A0"/>
      </w:tblPr>
      <w:tblGrid>
        <w:gridCol w:w="3080"/>
        <w:gridCol w:w="3081"/>
        <w:gridCol w:w="3081"/>
      </w:tblGrid>
      <w:tr w:rsidR="00E82A8A" w:rsidTr="005E0057">
        <w:tc>
          <w:tcPr>
            <w:tcW w:w="3080" w:type="dxa"/>
          </w:tcPr>
          <w:p w:rsidR="00E82A8A" w:rsidRDefault="00E82A8A" w:rsidP="005E0057">
            <w:pPr>
              <w:outlineLvl w:val="0"/>
            </w:pPr>
            <w:r>
              <w:t>Presence</w:t>
            </w:r>
          </w:p>
        </w:tc>
        <w:tc>
          <w:tcPr>
            <w:tcW w:w="3081" w:type="dxa"/>
          </w:tcPr>
          <w:p w:rsidR="00E82A8A" w:rsidRDefault="00E82A8A" w:rsidP="005E0057">
            <w:pPr>
              <w:outlineLvl w:val="0"/>
            </w:pPr>
            <w:r>
              <w:t>Component</w:t>
            </w:r>
          </w:p>
        </w:tc>
        <w:tc>
          <w:tcPr>
            <w:tcW w:w="3081" w:type="dxa"/>
          </w:tcPr>
          <w:p w:rsidR="00E82A8A" w:rsidRDefault="00E82A8A" w:rsidP="005E0057">
            <w:pPr>
              <w:outlineLvl w:val="0"/>
            </w:pPr>
            <w:r>
              <w:t>Indicators</w:t>
            </w:r>
          </w:p>
        </w:tc>
      </w:tr>
      <w:tr w:rsidR="00934B08" w:rsidTr="005E0057">
        <w:tc>
          <w:tcPr>
            <w:tcW w:w="3080" w:type="dxa"/>
            <w:vMerge w:val="restart"/>
          </w:tcPr>
          <w:p w:rsidR="00934B08" w:rsidRDefault="00934B08" w:rsidP="005E0057">
            <w:pPr>
              <w:outlineLvl w:val="0"/>
            </w:pPr>
          </w:p>
          <w:p w:rsidR="00934B08" w:rsidRDefault="00934B08" w:rsidP="005E0057">
            <w:pPr>
              <w:outlineLvl w:val="0"/>
            </w:pPr>
            <w:r>
              <w:t>Cognitive presence</w:t>
            </w:r>
          </w:p>
        </w:tc>
        <w:tc>
          <w:tcPr>
            <w:tcW w:w="3081" w:type="dxa"/>
          </w:tcPr>
          <w:p w:rsidR="00934B08" w:rsidRDefault="00934B08" w:rsidP="005E0057">
            <w:pPr>
              <w:outlineLvl w:val="0"/>
            </w:pPr>
            <w:r>
              <w:t>Triggering event</w:t>
            </w:r>
          </w:p>
        </w:tc>
        <w:tc>
          <w:tcPr>
            <w:tcW w:w="3081" w:type="dxa"/>
          </w:tcPr>
          <w:p w:rsidR="00934B08" w:rsidRDefault="00934B08" w:rsidP="005E0057">
            <w:pPr>
              <w:outlineLvl w:val="0"/>
            </w:pPr>
            <w:r>
              <w:t>Sense of puzzlement</w:t>
            </w:r>
          </w:p>
        </w:tc>
      </w:tr>
      <w:tr w:rsidR="00934B08" w:rsidTr="005E0057">
        <w:tc>
          <w:tcPr>
            <w:tcW w:w="3080" w:type="dxa"/>
            <w:vMerge/>
          </w:tcPr>
          <w:p w:rsidR="00934B08" w:rsidRDefault="00934B08" w:rsidP="005E0057">
            <w:pPr>
              <w:outlineLvl w:val="0"/>
            </w:pPr>
          </w:p>
        </w:tc>
        <w:tc>
          <w:tcPr>
            <w:tcW w:w="3081" w:type="dxa"/>
          </w:tcPr>
          <w:p w:rsidR="00934B08" w:rsidRDefault="00934B08" w:rsidP="005E0057">
            <w:pPr>
              <w:outlineLvl w:val="0"/>
            </w:pPr>
            <w:r>
              <w:t>Exploration</w:t>
            </w:r>
          </w:p>
        </w:tc>
        <w:tc>
          <w:tcPr>
            <w:tcW w:w="3081" w:type="dxa"/>
          </w:tcPr>
          <w:p w:rsidR="00934B08" w:rsidRDefault="00934B08" w:rsidP="005E0057">
            <w:pPr>
              <w:outlineLvl w:val="0"/>
            </w:pPr>
            <w:r>
              <w:t>Information exchange</w:t>
            </w:r>
          </w:p>
        </w:tc>
      </w:tr>
      <w:tr w:rsidR="00934B08" w:rsidTr="005E0057">
        <w:tc>
          <w:tcPr>
            <w:tcW w:w="3080" w:type="dxa"/>
            <w:vMerge/>
          </w:tcPr>
          <w:p w:rsidR="00934B08" w:rsidRDefault="00934B08" w:rsidP="005E0057">
            <w:pPr>
              <w:outlineLvl w:val="0"/>
            </w:pPr>
          </w:p>
        </w:tc>
        <w:tc>
          <w:tcPr>
            <w:tcW w:w="3081" w:type="dxa"/>
          </w:tcPr>
          <w:p w:rsidR="00934B08" w:rsidRDefault="00934B08" w:rsidP="005E0057">
            <w:pPr>
              <w:outlineLvl w:val="0"/>
            </w:pPr>
            <w:r>
              <w:t>Integration</w:t>
            </w:r>
          </w:p>
        </w:tc>
        <w:tc>
          <w:tcPr>
            <w:tcW w:w="3081" w:type="dxa"/>
          </w:tcPr>
          <w:p w:rsidR="00934B08" w:rsidRDefault="00934B08" w:rsidP="005E0057">
            <w:pPr>
              <w:outlineLvl w:val="0"/>
            </w:pPr>
            <w:r>
              <w:t>Connecting ideas</w:t>
            </w:r>
          </w:p>
        </w:tc>
      </w:tr>
      <w:tr w:rsidR="00934B08" w:rsidTr="005E0057">
        <w:tc>
          <w:tcPr>
            <w:tcW w:w="3080" w:type="dxa"/>
            <w:vMerge/>
          </w:tcPr>
          <w:p w:rsidR="00934B08" w:rsidRDefault="00934B08" w:rsidP="005E0057">
            <w:pPr>
              <w:outlineLvl w:val="0"/>
            </w:pPr>
          </w:p>
        </w:tc>
        <w:tc>
          <w:tcPr>
            <w:tcW w:w="3081" w:type="dxa"/>
          </w:tcPr>
          <w:p w:rsidR="00934B08" w:rsidRDefault="00934B08" w:rsidP="005E0057">
            <w:pPr>
              <w:outlineLvl w:val="0"/>
            </w:pPr>
            <w:r>
              <w:t>Resolution</w:t>
            </w:r>
          </w:p>
        </w:tc>
        <w:tc>
          <w:tcPr>
            <w:tcW w:w="3081" w:type="dxa"/>
          </w:tcPr>
          <w:p w:rsidR="00934B08" w:rsidRDefault="00934B08" w:rsidP="005E0057">
            <w:pPr>
              <w:outlineLvl w:val="0"/>
            </w:pPr>
            <w:r>
              <w:t>Applying new ideas</w:t>
            </w:r>
          </w:p>
        </w:tc>
      </w:tr>
    </w:tbl>
    <w:p w:rsidR="00341411" w:rsidRDefault="00341411" w:rsidP="0091002D">
      <w:pPr>
        <w:spacing w:after="0" w:line="480" w:lineRule="auto"/>
        <w:outlineLvl w:val="0"/>
      </w:pPr>
    </w:p>
    <w:p w:rsidR="00C378D2" w:rsidRDefault="00C378D2" w:rsidP="0091002D">
      <w:pPr>
        <w:spacing w:after="0" w:line="480" w:lineRule="auto"/>
        <w:outlineLvl w:val="0"/>
      </w:pPr>
      <w:r>
        <w:tab/>
        <w:t xml:space="preserve">While coding both </w:t>
      </w:r>
      <w:r w:rsidR="00D61788">
        <w:t xml:space="preserve">instructor responses and the presence, message was chosen as the unit of analysis. Specifically speaking, the number of instances of each instructor response to or addressing learner postings was calculated based on the unit of messages posted following </w:t>
      </w:r>
      <w:proofErr w:type="spellStart"/>
      <w:r w:rsidR="00D61788">
        <w:t>Rourke</w:t>
      </w:r>
      <w:proofErr w:type="spellEnd"/>
      <w:r w:rsidR="00D61788">
        <w:t xml:space="preserve">, Anderson, Garrison, and Archer (2001), </w:t>
      </w:r>
      <w:proofErr w:type="spellStart"/>
      <w:r w:rsidR="00D61788">
        <w:t>Akyol</w:t>
      </w:r>
      <w:proofErr w:type="spellEnd"/>
      <w:r w:rsidR="00D61788">
        <w:t xml:space="preserve"> and Garrison, (2008), and Garrison et al. (2001). Garrison et al. (2001) stated that </w:t>
      </w:r>
      <w:r w:rsidR="000F5CA6">
        <w:t>messages</w:t>
      </w:r>
      <w:r w:rsidR="00D61788">
        <w:t xml:space="preserve"> refer to “what one participant</w:t>
      </w:r>
      <w:r w:rsidR="000F5CA6">
        <w:t xml:space="preserve"> </w:t>
      </w:r>
      <w:r w:rsidR="007A0324">
        <w:t>posted into one thread of the conference on one occasion”</w:t>
      </w:r>
      <w:r w:rsidR="00A432B2">
        <w:t xml:space="preserve"> (p. 16)</w:t>
      </w:r>
      <w:r w:rsidR="007A0324">
        <w:t xml:space="preserve">. </w:t>
      </w:r>
      <w:r w:rsidR="00513A00">
        <w:t xml:space="preserve">It was also practical to identify </w:t>
      </w:r>
      <w:r w:rsidR="00A432B2">
        <w:t>each message and its content as it relates to one or more than one type of online instructor response as suggested by Garrison et al. (2001).</w:t>
      </w:r>
    </w:p>
    <w:p w:rsidR="003C1889" w:rsidRDefault="00934B08" w:rsidP="0091002D">
      <w:pPr>
        <w:spacing w:after="0" w:line="480" w:lineRule="auto"/>
        <w:outlineLvl w:val="0"/>
      </w:pPr>
      <w:r>
        <w:tab/>
      </w:r>
      <w:r w:rsidR="001D38E6">
        <w:t xml:space="preserve">As for </w:t>
      </w:r>
      <w:r w:rsidR="00C56140">
        <w:t xml:space="preserve">survey data, after reverse items were </w:t>
      </w:r>
      <w:proofErr w:type="spellStart"/>
      <w:r w:rsidR="00C56140">
        <w:t>recoded</w:t>
      </w:r>
      <w:proofErr w:type="spellEnd"/>
      <w:r w:rsidR="00C56140">
        <w:t xml:space="preserve">, total scores were calculated by adding ratings of each of the survey items. </w:t>
      </w:r>
      <w:r w:rsidR="000B2FC7">
        <w:t>These totals functioned as the dependent variable for further ANCOVA analyses</w:t>
      </w:r>
      <w:r w:rsidR="006F2471">
        <w:t xml:space="preserve"> with instructor participation style as the independent variable, </w:t>
      </w:r>
      <w:r w:rsidR="00F4484E">
        <w:t>and self-efficacy as the covariate</w:t>
      </w:r>
      <w:r w:rsidR="000B2FC7">
        <w:t xml:space="preserve">. </w:t>
      </w:r>
      <w:r w:rsidR="00173F40">
        <w:t xml:space="preserve">Due to the possibility that instructors might switch from one </w:t>
      </w:r>
      <w:r w:rsidR="009B3A5A">
        <w:t xml:space="preserve">style to another style while participating in online discussions, each style was numerically expressed </w:t>
      </w:r>
      <w:r w:rsidR="009920CF">
        <w:t xml:space="preserve">as the total of the number of </w:t>
      </w:r>
      <w:r w:rsidR="00FB4011">
        <w:t>times each style was</w:t>
      </w:r>
      <w:r w:rsidR="009920CF">
        <w:t xml:space="preserve"> observed during content analysis. </w:t>
      </w:r>
      <w:r w:rsidR="00D15F9F">
        <w:t xml:space="preserve">The style that most frequently occurred was taken as the </w:t>
      </w:r>
      <w:r w:rsidR="00C11B19">
        <w:t xml:space="preserve">deterministic style to which each student was exposed to in order not </w:t>
      </w:r>
      <w:r w:rsidR="00D36828">
        <w:t xml:space="preserve">to </w:t>
      </w:r>
      <w:r w:rsidR="003C1889">
        <w:t>repeat</w:t>
      </w:r>
      <w:r w:rsidR="00D36828">
        <w:t xml:space="preserve"> a student`s data over and over again </w:t>
      </w:r>
      <w:r w:rsidR="003C1889">
        <w:t>based on each different instructor participation style during data analysis.</w:t>
      </w:r>
    </w:p>
    <w:p w:rsidR="001D38E6" w:rsidRDefault="003C1889" w:rsidP="0091002D">
      <w:pPr>
        <w:spacing w:after="0" w:line="480" w:lineRule="auto"/>
        <w:outlineLvl w:val="0"/>
      </w:pPr>
      <w:r>
        <w:lastRenderedPageBreak/>
        <w:tab/>
      </w:r>
      <w:r w:rsidR="000B2FC7">
        <w:t xml:space="preserve">Moreover, concerning </w:t>
      </w:r>
      <w:r w:rsidR="001D38E6">
        <w:t>internal consistency or validity</w:t>
      </w:r>
      <w:r w:rsidR="000B2FC7">
        <w:t xml:space="preserve"> of the surveys</w:t>
      </w:r>
      <w:r w:rsidR="00927D5D">
        <w:t>,</w:t>
      </w:r>
      <w:r w:rsidR="000B2FC7">
        <w:t xml:space="preserve"> d</w:t>
      </w:r>
      <w:r w:rsidR="00927D5D">
        <w:t>u</w:t>
      </w:r>
      <w:r w:rsidR="000B2FC7">
        <w:t>e to modifications run on them</w:t>
      </w:r>
      <w:r w:rsidR="001D38E6">
        <w:t xml:space="preserve">, </w:t>
      </w:r>
      <w:proofErr w:type="spellStart"/>
      <w:r w:rsidR="001D38E6">
        <w:t>Cronbach`s</w:t>
      </w:r>
      <w:proofErr w:type="spellEnd"/>
      <w:r w:rsidR="001D38E6">
        <w:t xml:space="preserve"> Alpha was run on participants` ratings on the motivation/engagement and self-efficacy surveys.</w:t>
      </w:r>
      <w:r w:rsidR="00E166AF">
        <w:t xml:space="preserve"> </w:t>
      </w:r>
      <w:r w:rsidR="00CF685F">
        <w:t>Based on these analys</w:t>
      </w:r>
      <w:r w:rsidR="00550C3E">
        <w:t>e</w:t>
      </w:r>
      <w:r w:rsidR="00CF685F">
        <w:t xml:space="preserve">s, the next section provides </w:t>
      </w:r>
      <w:r w:rsidR="00A86995">
        <w:t>results of the current study.</w:t>
      </w:r>
    </w:p>
    <w:p w:rsidR="00EC0C7E" w:rsidRDefault="00EC0C7E" w:rsidP="00EC0C7E">
      <w:pPr>
        <w:spacing w:after="0" w:line="480" w:lineRule="auto"/>
        <w:rPr>
          <w:b/>
        </w:rPr>
      </w:pPr>
      <w:r w:rsidRPr="00EC0C7E">
        <w:rPr>
          <w:b/>
        </w:rPr>
        <w:t>Results</w:t>
      </w:r>
    </w:p>
    <w:p w:rsidR="000C2BB7" w:rsidRPr="00721DBC" w:rsidRDefault="00AD2B12" w:rsidP="00721DBC">
      <w:pPr>
        <w:spacing w:after="0" w:line="480" w:lineRule="auto"/>
        <w:rPr>
          <w:b/>
        </w:rPr>
      </w:pPr>
      <w:r>
        <w:rPr>
          <w:b/>
        </w:rPr>
        <w:tab/>
      </w:r>
      <w:proofErr w:type="gramStart"/>
      <w:r>
        <w:rPr>
          <w:b/>
        </w:rPr>
        <w:t>Instructor Participation or Teaching Style</w:t>
      </w:r>
      <w:r w:rsidR="00C80676">
        <w:rPr>
          <w:b/>
        </w:rPr>
        <w:t>,</w:t>
      </w:r>
      <w:r>
        <w:rPr>
          <w:b/>
        </w:rPr>
        <w:t xml:space="preserve"> and Learner Motivation</w:t>
      </w:r>
      <w:r w:rsidR="00C80676">
        <w:rPr>
          <w:b/>
        </w:rPr>
        <w:t xml:space="preserve"> and </w:t>
      </w:r>
      <w:r w:rsidR="00C80676">
        <w:rPr>
          <w:b/>
        </w:rPr>
        <w:tab/>
        <w:t>Engagement</w:t>
      </w:r>
      <w:r>
        <w:rPr>
          <w:b/>
        </w:rPr>
        <w:t>.</w:t>
      </w:r>
      <w:proofErr w:type="gramEnd"/>
      <w:r w:rsidR="00721DBC">
        <w:rPr>
          <w:b/>
        </w:rPr>
        <w:t xml:space="preserve"> </w:t>
      </w:r>
      <w:r w:rsidR="00064165">
        <w:t xml:space="preserve">Due to lack of data </w:t>
      </w:r>
      <w:r w:rsidR="00991D03">
        <w:t>regarding</w:t>
      </w:r>
      <w:r w:rsidR="00064165">
        <w:t xml:space="preserve"> student motivation, engagement and </w:t>
      </w:r>
      <w:r w:rsidR="00FE46EB">
        <w:t>self-efficacy, the prese</w:t>
      </w:r>
      <w:r w:rsidR="00991D03">
        <w:t>nt study</w:t>
      </w:r>
      <w:r w:rsidR="00FE46EB">
        <w:t xml:space="preserve"> could not </w:t>
      </w:r>
      <w:r w:rsidR="00991D03">
        <w:t>answer the question of the effects of instructors` participation in online discussions on students` motivation and engagement while controlling for the effects of self-efficacy.</w:t>
      </w:r>
      <w:r w:rsidR="00155153">
        <w:t xml:space="preserve"> </w:t>
      </w:r>
      <w:r w:rsidR="00343592">
        <w:t xml:space="preserve">Instead, this study managed to </w:t>
      </w:r>
      <w:r w:rsidR="00961FD0">
        <w:t xml:space="preserve">report the descriptive statistics for the instructors` different participations styles. </w:t>
      </w:r>
      <w:r w:rsidR="007955E2">
        <w:t xml:space="preserve">This analysis was based on </w:t>
      </w:r>
      <w:proofErr w:type="spellStart"/>
      <w:r w:rsidR="00C34F35">
        <w:t>Wosley`s</w:t>
      </w:r>
      <w:proofErr w:type="spellEnd"/>
      <w:r w:rsidR="00C34F35">
        <w:t xml:space="preserve"> (2008) ten-categor</w:t>
      </w:r>
      <w:r w:rsidR="00901824">
        <w:t>ies of online instructor feedback.</w:t>
      </w:r>
      <w:r w:rsidR="000C2BB7">
        <w:t xml:space="preserve"> Table 5 below illustrates the coding results for these categories of instructor responses in online discussions:</w:t>
      </w:r>
    </w:p>
    <w:p w:rsidR="000C2BB7" w:rsidRDefault="000C2BB7" w:rsidP="000C2BB7">
      <w:pPr>
        <w:spacing w:after="0" w:line="240" w:lineRule="auto"/>
        <w:outlineLvl w:val="0"/>
      </w:pPr>
      <w:r>
        <w:t xml:space="preserve"> </w:t>
      </w:r>
      <w:r w:rsidR="00991D03">
        <w:t xml:space="preserve">  </w:t>
      </w:r>
      <w:proofErr w:type="gramStart"/>
      <w:r>
        <w:t>Table 5.</w:t>
      </w:r>
      <w:proofErr w:type="gramEnd"/>
      <w:r>
        <w:t xml:space="preserve"> Categories of Instructors` </w:t>
      </w:r>
      <w:r w:rsidR="005F4D35">
        <w:t>Responses in Online Discussions</w:t>
      </w:r>
    </w:p>
    <w:p w:rsidR="00A15214" w:rsidRDefault="00A15214" w:rsidP="000C2BB7">
      <w:pPr>
        <w:spacing w:after="0" w:line="240" w:lineRule="auto"/>
        <w:outlineLvl w:val="0"/>
      </w:pPr>
    </w:p>
    <w:tbl>
      <w:tblPr>
        <w:tblStyle w:val="TabloKlavuzu"/>
        <w:tblW w:w="0" w:type="auto"/>
        <w:tblBorders>
          <w:left w:val="none" w:sz="0" w:space="0" w:color="auto"/>
          <w:right w:val="none" w:sz="0" w:space="0" w:color="auto"/>
          <w:insideV w:val="none" w:sz="0" w:space="0" w:color="auto"/>
        </w:tblBorders>
        <w:tblLook w:val="04A0"/>
      </w:tblPr>
      <w:tblGrid>
        <w:gridCol w:w="1526"/>
        <w:gridCol w:w="1286"/>
        <w:gridCol w:w="1286"/>
        <w:gridCol w:w="1286"/>
        <w:gridCol w:w="1286"/>
        <w:gridCol w:w="1286"/>
        <w:gridCol w:w="1286"/>
      </w:tblGrid>
      <w:tr w:rsidR="001E6BA5" w:rsidTr="00D64404">
        <w:trPr>
          <w:trHeight w:val="460"/>
        </w:trPr>
        <w:tc>
          <w:tcPr>
            <w:tcW w:w="1526" w:type="dxa"/>
            <w:vMerge w:val="restart"/>
          </w:tcPr>
          <w:p w:rsidR="001E6BA5" w:rsidRDefault="001E6BA5" w:rsidP="001E6BA5">
            <w:pPr>
              <w:outlineLvl w:val="0"/>
            </w:pPr>
            <w:r>
              <w:t>Instructors`</w:t>
            </w:r>
          </w:p>
          <w:p w:rsidR="001E6BA5" w:rsidRDefault="001E6BA5" w:rsidP="001E6BA5">
            <w:pPr>
              <w:outlineLvl w:val="0"/>
            </w:pPr>
            <w:r>
              <w:t>Online</w:t>
            </w:r>
          </w:p>
          <w:p w:rsidR="001E6BA5" w:rsidRDefault="001E6BA5" w:rsidP="001E6BA5">
            <w:pPr>
              <w:outlineLvl w:val="0"/>
            </w:pPr>
            <w:r>
              <w:t>Response</w:t>
            </w:r>
          </w:p>
        </w:tc>
        <w:tc>
          <w:tcPr>
            <w:tcW w:w="7716" w:type="dxa"/>
            <w:gridSpan w:val="6"/>
          </w:tcPr>
          <w:p w:rsidR="001E6BA5" w:rsidRDefault="001E6BA5" w:rsidP="001E6BA5">
            <w:pPr>
              <w:jc w:val="center"/>
              <w:outlineLvl w:val="0"/>
            </w:pPr>
            <w:r>
              <w:t>Courses</w:t>
            </w:r>
          </w:p>
        </w:tc>
      </w:tr>
      <w:tr w:rsidR="001E6BA5" w:rsidTr="00D64404">
        <w:trPr>
          <w:trHeight w:val="254"/>
        </w:trPr>
        <w:tc>
          <w:tcPr>
            <w:tcW w:w="1526" w:type="dxa"/>
            <w:vMerge/>
          </w:tcPr>
          <w:p w:rsidR="001E6BA5" w:rsidRDefault="001E6BA5" w:rsidP="001E6BA5">
            <w:pPr>
              <w:outlineLvl w:val="0"/>
            </w:pPr>
          </w:p>
        </w:tc>
        <w:tc>
          <w:tcPr>
            <w:tcW w:w="2572" w:type="dxa"/>
            <w:gridSpan w:val="2"/>
          </w:tcPr>
          <w:p w:rsidR="001E6BA5" w:rsidRDefault="001E6BA5" w:rsidP="001E6BA5">
            <w:pPr>
              <w:jc w:val="center"/>
              <w:outlineLvl w:val="0"/>
            </w:pPr>
            <w:r>
              <w:t>Course 1</w:t>
            </w:r>
          </w:p>
        </w:tc>
        <w:tc>
          <w:tcPr>
            <w:tcW w:w="2572" w:type="dxa"/>
            <w:gridSpan w:val="2"/>
          </w:tcPr>
          <w:p w:rsidR="001E6BA5" w:rsidRDefault="001E6BA5" w:rsidP="001E6BA5">
            <w:pPr>
              <w:jc w:val="center"/>
              <w:outlineLvl w:val="0"/>
            </w:pPr>
            <w:r>
              <w:t>Course 2</w:t>
            </w:r>
          </w:p>
        </w:tc>
        <w:tc>
          <w:tcPr>
            <w:tcW w:w="2572" w:type="dxa"/>
            <w:gridSpan w:val="2"/>
          </w:tcPr>
          <w:p w:rsidR="001E6BA5" w:rsidRDefault="001E6BA5" w:rsidP="001E6BA5">
            <w:pPr>
              <w:jc w:val="center"/>
              <w:outlineLvl w:val="0"/>
            </w:pPr>
            <w:r>
              <w:t>Course 3</w:t>
            </w:r>
          </w:p>
        </w:tc>
      </w:tr>
      <w:tr w:rsidR="001E6BA5" w:rsidTr="00D64404">
        <w:trPr>
          <w:trHeight w:val="253"/>
        </w:trPr>
        <w:tc>
          <w:tcPr>
            <w:tcW w:w="1526" w:type="dxa"/>
            <w:vMerge/>
          </w:tcPr>
          <w:p w:rsidR="001E6BA5" w:rsidRDefault="001E6BA5" w:rsidP="001E6BA5">
            <w:pPr>
              <w:outlineLvl w:val="0"/>
            </w:pPr>
          </w:p>
        </w:tc>
        <w:tc>
          <w:tcPr>
            <w:tcW w:w="1286" w:type="dxa"/>
          </w:tcPr>
          <w:p w:rsidR="001E6BA5" w:rsidRDefault="001E6BA5" w:rsidP="001E6BA5">
            <w:pPr>
              <w:jc w:val="center"/>
              <w:outlineLvl w:val="0"/>
            </w:pPr>
            <w:r>
              <w:t>Total</w:t>
            </w:r>
          </w:p>
        </w:tc>
        <w:tc>
          <w:tcPr>
            <w:tcW w:w="1286" w:type="dxa"/>
          </w:tcPr>
          <w:p w:rsidR="001E6BA5" w:rsidRDefault="001E6BA5" w:rsidP="001E6BA5">
            <w:pPr>
              <w:jc w:val="center"/>
              <w:outlineLvl w:val="0"/>
            </w:pPr>
            <w:r>
              <w:t>Percentage</w:t>
            </w:r>
          </w:p>
        </w:tc>
        <w:tc>
          <w:tcPr>
            <w:tcW w:w="1286" w:type="dxa"/>
          </w:tcPr>
          <w:p w:rsidR="001E6BA5" w:rsidRDefault="001E6BA5" w:rsidP="001E6BA5">
            <w:pPr>
              <w:jc w:val="center"/>
              <w:outlineLvl w:val="0"/>
            </w:pPr>
            <w:r>
              <w:t>Total</w:t>
            </w:r>
          </w:p>
        </w:tc>
        <w:tc>
          <w:tcPr>
            <w:tcW w:w="1286" w:type="dxa"/>
          </w:tcPr>
          <w:p w:rsidR="001E6BA5" w:rsidRDefault="001E6BA5" w:rsidP="001E6BA5">
            <w:pPr>
              <w:jc w:val="center"/>
              <w:outlineLvl w:val="0"/>
            </w:pPr>
            <w:r>
              <w:t>Percentage</w:t>
            </w:r>
          </w:p>
        </w:tc>
        <w:tc>
          <w:tcPr>
            <w:tcW w:w="1286" w:type="dxa"/>
          </w:tcPr>
          <w:p w:rsidR="001E6BA5" w:rsidRDefault="001E6BA5" w:rsidP="001E6BA5">
            <w:pPr>
              <w:jc w:val="center"/>
              <w:outlineLvl w:val="0"/>
            </w:pPr>
            <w:r>
              <w:t>Total</w:t>
            </w:r>
          </w:p>
        </w:tc>
        <w:tc>
          <w:tcPr>
            <w:tcW w:w="1286" w:type="dxa"/>
          </w:tcPr>
          <w:p w:rsidR="001E6BA5" w:rsidRDefault="001E6BA5" w:rsidP="001E6BA5">
            <w:pPr>
              <w:jc w:val="center"/>
              <w:outlineLvl w:val="0"/>
            </w:pPr>
            <w:r>
              <w:t>Percentage</w:t>
            </w:r>
          </w:p>
        </w:tc>
      </w:tr>
      <w:tr w:rsidR="001E6BA5" w:rsidTr="00D64404">
        <w:trPr>
          <w:trHeight w:val="253"/>
        </w:trPr>
        <w:tc>
          <w:tcPr>
            <w:tcW w:w="1526" w:type="dxa"/>
          </w:tcPr>
          <w:p w:rsidR="001E6BA5" w:rsidRDefault="001E6BA5" w:rsidP="001E6BA5">
            <w:pPr>
              <w:outlineLvl w:val="0"/>
            </w:pPr>
            <w:r>
              <w:t>Simple affirmations</w:t>
            </w:r>
          </w:p>
        </w:tc>
        <w:tc>
          <w:tcPr>
            <w:tcW w:w="1286" w:type="dxa"/>
          </w:tcPr>
          <w:p w:rsidR="001E6BA5" w:rsidRDefault="001E6BA5" w:rsidP="001E6BA5">
            <w:pPr>
              <w:jc w:val="center"/>
              <w:outlineLvl w:val="0"/>
            </w:pPr>
          </w:p>
          <w:p w:rsidR="0035671A" w:rsidRDefault="00B61BB8" w:rsidP="001E6BA5">
            <w:pPr>
              <w:jc w:val="center"/>
              <w:outlineLvl w:val="0"/>
            </w:pPr>
            <w:r>
              <w:t>0</w:t>
            </w:r>
          </w:p>
        </w:tc>
        <w:tc>
          <w:tcPr>
            <w:tcW w:w="1286" w:type="dxa"/>
          </w:tcPr>
          <w:p w:rsidR="001E6BA5" w:rsidRDefault="001E6BA5" w:rsidP="001E6BA5">
            <w:pPr>
              <w:jc w:val="center"/>
              <w:outlineLvl w:val="0"/>
            </w:pPr>
          </w:p>
          <w:p w:rsidR="00B61BB8" w:rsidRDefault="00B61BB8" w:rsidP="001E6BA5">
            <w:pPr>
              <w:jc w:val="center"/>
              <w:outlineLvl w:val="0"/>
            </w:pPr>
            <w:r>
              <w:t>0%</w:t>
            </w:r>
          </w:p>
        </w:tc>
        <w:tc>
          <w:tcPr>
            <w:tcW w:w="1286" w:type="dxa"/>
          </w:tcPr>
          <w:p w:rsidR="001A7A4E" w:rsidRDefault="001A7A4E" w:rsidP="001E6BA5">
            <w:pPr>
              <w:jc w:val="center"/>
              <w:outlineLvl w:val="0"/>
            </w:pPr>
          </w:p>
          <w:p w:rsidR="001E6BA5" w:rsidRDefault="001A7A4E" w:rsidP="001E6BA5">
            <w:pPr>
              <w:jc w:val="center"/>
              <w:outlineLvl w:val="0"/>
            </w:pPr>
            <w:r>
              <w:t>2</w:t>
            </w:r>
          </w:p>
        </w:tc>
        <w:tc>
          <w:tcPr>
            <w:tcW w:w="1286" w:type="dxa"/>
          </w:tcPr>
          <w:p w:rsidR="001E6BA5" w:rsidRDefault="001E6BA5" w:rsidP="001E6BA5">
            <w:pPr>
              <w:jc w:val="center"/>
              <w:outlineLvl w:val="0"/>
            </w:pPr>
          </w:p>
          <w:p w:rsidR="00EA7094" w:rsidRDefault="00EA7094" w:rsidP="001E6BA5">
            <w:pPr>
              <w:jc w:val="center"/>
              <w:outlineLvl w:val="0"/>
            </w:pPr>
            <w:r>
              <w:t>8.7%</w:t>
            </w:r>
          </w:p>
        </w:tc>
        <w:tc>
          <w:tcPr>
            <w:tcW w:w="1286" w:type="dxa"/>
          </w:tcPr>
          <w:p w:rsidR="001E6BA5" w:rsidRDefault="001E6BA5" w:rsidP="001E6BA5">
            <w:pPr>
              <w:jc w:val="center"/>
              <w:outlineLvl w:val="0"/>
            </w:pPr>
          </w:p>
          <w:p w:rsidR="001B4FDD" w:rsidRDefault="00415335" w:rsidP="001E6BA5">
            <w:pPr>
              <w:jc w:val="center"/>
              <w:outlineLvl w:val="0"/>
            </w:pPr>
            <w:r>
              <w:t>2</w:t>
            </w:r>
          </w:p>
        </w:tc>
        <w:tc>
          <w:tcPr>
            <w:tcW w:w="1286" w:type="dxa"/>
          </w:tcPr>
          <w:p w:rsidR="001E6BA5" w:rsidRDefault="001E6BA5" w:rsidP="001E6BA5">
            <w:pPr>
              <w:jc w:val="center"/>
              <w:outlineLvl w:val="0"/>
            </w:pPr>
          </w:p>
          <w:p w:rsidR="00A01472" w:rsidRDefault="00A01472" w:rsidP="001E6BA5">
            <w:pPr>
              <w:jc w:val="center"/>
              <w:outlineLvl w:val="0"/>
            </w:pPr>
            <w:r>
              <w:t>12.5%</w:t>
            </w:r>
          </w:p>
        </w:tc>
      </w:tr>
      <w:tr w:rsidR="001E6BA5" w:rsidTr="00D64404">
        <w:trPr>
          <w:trHeight w:val="253"/>
        </w:trPr>
        <w:tc>
          <w:tcPr>
            <w:tcW w:w="1526" w:type="dxa"/>
          </w:tcPr>
          <w:p w:rsidR="001E6BA5" w:rsidRDefault="001E6BA5" w:rsidP="001E6BA5">
            <w:pPr>
              <w:outlineLvl w:val="0"/>
            </w:pPr>
            <w:r>
              <w:t>Complex affirmations</w:t>
            </w:r>
          </w:p>
        </w:tc>
        <w:tc>
          <w:tcPr>
            <w:tcW w:w="1286" w:type="dxa"/>
          </w:tcPr>
          <w:p w:rsidR="001E6BA5" w:rsidRDefault="001E6BA5" w:rsidP="001E6BA5">
            <w:pPr>
              <w:jc w:val="center"/>
              <w:outlineLvl w:val="0"/>
            </w:pPr>
          </w:p>
          <w:p w:rsidR="00B61BB8" w:rsidRDefault="00B61BB8" w:rsidP="001E6BA5">
            <w:pPr>
              <w:jc w:val="center"/>
              <w:outlineLvl w:val="0"/>
            </w:pPr>
            <w:r>
              <w:t>0</w:t>
            </w:r>
          </w:p>
        </w:tc>
        <w:tc>
          <w:tcPr>
            <w:tcW w:w="1286" w:type="dxa"/>
          </w:tcPr>
          <w:p w:rsidR="001E6BA5" w:rsidRDefault="001E6BA5" w:rsidP="001E6BA5">
            <w:pPr>
              <w:jc w:val="center"/>
              <w:outlineLvl w:val="0"/>
            </w:pPr>
          </w:p>
          <w:p w:rsidR="00B61BB8" w:rsidRDefault="00B61BB8" w:rsidP="001E6BA5">
            <w:pPr>
              <w:jc w:val="center"/>
              <w:outlineLvl w:val="0"/>
            </w:pPr>
            <w:r>
              <w:t>0%</w:t>
            </w:r>
          </w:p>
        </w:tc>
        <w:tc>
          <w:tcPr>
            <w:tcW w:w="1286" w:type="dxa"/>
          </w:tcPr>
          <w:p w:rsidR="001E6BA5" w:rsidRDefault="001E6BA5" w:rsidP="001E6BA5">
            <w:pPr>
              <w:jc w:val="center"/>
              <w:outlineLvl w:val="0"/>
            </w:pPr>
          </w:p>
          <w:p w:rsidR="00FF6710" w:rsidRDefault="00D25879" w:rsidP="001E6BA5">
            <w:pPr>
              <w:jc w:val="center"/>
              <w:outlineLvl w:val="0"/>
            </w:pPr>
            <w:r>
              <w:t>2</w:t>
            </w:r>
          </w:p>
        </w:tc>
        <w:tc>
          <w:tcPr>
            <w:tcW w:w="1286" w:type="dxa"/>
          </w:tcPr>
          <w:p w:rsidR="001E6BA5" w:rsidRDefault="001E6BA5" w:rsidP="001E6BA5">
            <w:pPr>
              <w:jc w:val="center"/>
              <w:outlineLvl w:val="0"/>
            </w:pPr>
          </w:p>
          <w:p w:rsidR="00EA7094" w:rsidRDefault="00EA7094" w:rsidP="001E6BA5">
            <w:pPr>
              <w:jc w:val="center"/>
              <w:outlineLvl w:val="0"/>
            </w:pPr>
            <w:r>
              <w:t>8.7%</w:t>
            </w:r>
          </w:p>
        </w:tc>
        <w:tc>
          <w:tcPr>
            <w:tcW w:w="1286" w:type="dxa"/>
          </w:tcPr>
          <w:p w:rsidR="001E6BA5" w:rsidRDefault="001E6BA5" w:rsidP="001E6BA5">
            <w:pPr>
              <w:jc w:val="center"/>
              <w:outlineLvl w:val="0"/>
            </w:pPr>
          </w:p>
          <w:p w:rsidR="00333DBC" w:rsidRDefault="00333DBC" w:rsidP="001E6BA5">
            <w:pPr>
              <w:jc w:val="center"/>
              <w:outlineLvl w:val="0"/>
            </w:pPr>
            <w:r>
              <w:t>1</w:t>
            </w:r>
          </w:p>
        </w:tc>
        <w:tc>
          <w:tcPr>
            <w:tcW w:w="1286" w:type="dxa"/>
          </w:tcPr>
          <w:p w:rsidR="001E6BA5" w:rsidRDefault="001E6BA5" w:rsidP="001E6BA5">
            <w:pPr>
              <w:jc w:val="center"/>
              <w:outlineLvl w:val="0"/>
            </w:pPr>
          </w:p>
          <w:p w:rsidR="00A01472" w:rsidRDefault="00A01472" w:rsidP="001E6BA5">
            <w:pPr>
              <w:jc w:val="center"/>
              <w:outlineLvl w:val="0"/>
            </w:pPr>
            <w:r>
              <w:t>6.25%</w:t>
            </w:r>
          </w:p>
        </w:tc>
      </w:tr>
      <w:tr w:rsidR="001E6BA5" w:rsidTr="00D64404">
        <w:trPr>
          <w:trHeight w:val="253"/>
        </w:trPr>
        <w:tc>
          <w:tcPr>
            <w:tcW w:w="1526" w:type="dxa"/>
          </w:tcPr>
          <w:p w:rsidR="001E6BA5" w:rsidRDefault="001E6BA5" w:rsidP="001E6BA5">
            <w:pPr>
              <w:outlineLvl w:val="0"/>
            </w:pPr>
            <w:r>
              <w:t>Personal</w:t>
            </w:r>
          </w:p>
        </w:tc>
        <w:tc>
          <w:tcPr>
            <w:tcW w:w="1286" w:type="dxa"/>
          </w:tcPr>
          <w:p w:rsidR="001E6BA5" w:rsidRDefault="00E21342" w:rsidP="001E6BA5">
            <w:pPr>
              <w:jc w:val="center"/>
              <w:outlineLvl w:val="0"/>
            </w:pPr>
            <w:r>
              <w:t>1</w:t>
            </w:r>
          </w:p>
        </w:tc>
        <w:tc>
          <w:tcPr>
            <w:tcW w:w="1286" w:type="dxa"/>
          </w:tcPr>
          <w:p w:rsidR="001E6BA5" w:rsidRDefault="00B61BB8" w:rsidP="001E6BA5">
            <w:pPr>
              <w:jc w:val="center"/>
              <w:outlineLvl w:val="0"/>
            </w:pPr>
            <w:r>
              <w:t>12.5%</w:t>
            </w:r>
          </w:p>
        </w:tc>
        <w:tc>
          <w:tcPr>
            <w:tcW w:w="1286" w:type="dxa"/>
          </w:tcPr>
          <w:p w:rsidR="001E6BA5" w:rsidRDefault="006C7952" w:rsidP="001E6BA5">
            <w:pPr>
              <w:jc w:val="center"/>
              <w:outlineLvl w:val="0"/>
            </w:pPr>
            <w:r>
              <w:t>6</w:t>
            </w:r>
          </w:p>
        </w:tc>
        <w:tc>
          <w:tcPr>
            <w:tcW w:w="1286" w:type="dxa"/>
          </w:tcPr>
          <w:p w:rsidR="001E6BA5" w:rsidRDefault="00EA7094" w:rsidP="001E6BA5">
            <w:pPr>
              <w:jc w:val="center"/>
              <w:outlineLvl w:val="0"/>
            </w:pPr>
            <w:r>
              <w:t>26.09%</w:t>
            </w:r>
          </w:p>
        </w:tc>
        <w:tc>
          <w:tcPr>
            <w:tcW w:w="1286" w:type="dxa"/>
          </w:tcPr>
          <w:p w:rsidR="001E6BA5" w:rsidRDefault="002001B3" w:rsidP="001E6BA5">
            <w:pPr>
              <w:jc w:val="center"/>
              <w:outlineLvl w:val="0"/>
            </w:pPr>
            <w:r>
              <w:t>2</w:t>
            </w:r>
          </w:p>
        </w:tc>
        <w:tc>
          <w:tcPr>
            <w:tcW w:w="1286" w:type="dxa"/>
          </w:tcPr>
          <w:p w:rsidR="001E6BA5" w:rsidRDefault="00A01472" w:rsidP="001E6BA5">
            <w:pPr>
              <w:jc w:val="center"/>
              <w:outlineLvl w:val="0"/>
            </w:pPr>
            <w:r>
              <w:t>12.5%</w:t>
            </w:r>
          </w:p>
        </w:tc>
      </w:tr>
      <w:tr w:rsidR="001E6BA5" w:rsidTr="00D64404">
        <w:trPr>
          <w:trHeight w:val="253"/>
        </w:trPr>
        <w:tc>
          <w:tcPr>
            <w:tcW w:w="1526" w:type="dxa"/>
          </w:tcPr>
          <w:p w:rsidR="001E6BA5" w:rsidRDefault="001E6BA5" w:rsidP="001E6BA5">
            <w:pPr>
              <w:outlineLvl w:val="0"/>
            </w:pPr>
            <w:r>
              <w:t>Observations</w:t>
            </w:r>
          </w:p>
        </w:tc>
        <w:tc>
          <w:tcPr>
            <w:tcW w:w="1286" w:type="dxa"/>
          </w:tcPr>
          <w:p w:rsidR="001E6BA5" w:rsidRDefault="009E5BCA" w:rsidP="001E6BA5">
            <w:pPr>
              <w:jc w:val="center"/>
              <w:outlineLvl w:val="0"/>
            </w:pPr>
            <w:r>
              <w:t>1</w:t>
            </w:r>
          </w:p>
        </w:tc>
        <w:tc>
          <w:tcPr>
            <w:tcW w:w="1286" w:type="dxa"/>
          </w:tcPr>
          <w:p w:rsidR="001E6BA5" w:rsidRDefault="00B61BB8" w:rsidP="001E6BA5">
            <w:pPr>
              <w:jc w:val="center"/>
              <w:outlineLvl w:val="0"/>
            </w:pPr>
            <w:r>
              <w:t>12.5%</w:t>
            </w:r>
          </w:p>
        </w:tc>
        <w:tc>
          <w:tcPr>
            <w:tcW w:w="1286" w:type="dxa"/>
          </w:tcPr>
          <w:p w:rsidR="001E6BA5" w:rsidRDefault="00D752BF" w:rsidP="001E6BA5">
            <w:pPr>
              <w:jc w:val="center"/>
              <w:outlineLvl w:val="0"/>
            </w:pPr>
            <w:r>
              <w:t>1</w:t>
            </w:r>
          </w:p>
        </w:tc>
        <w:tc>
          <w:tcPr>
            <w:tcW w:w="1286" w:type="dxa"/>
          </w:tcPr>
          <w:p w:rsidR="001E6BA5" w:rsidRDefault="00EA7094" w:rsidP="001E6BA5">
            <w:pPr>
              <w:jc w:val="center"/>
              <w:outlineLvl w:val="0"/>
            </w:pPr>
            <w:r>
              <w:t>4.35%</w:t>
            </w:r>
          </w:p>
        </w:tc>
        <w:tc>
          <w:tcPr>
            <w:tcW w:w="1286" w:type="dxa"/>
          </w:tcPr>
          <w:p w:rsidR="001E6BA5" w:rsidRDefault="002001B3" w:rsidP="001E6BA5">
            <w:pPr>
              <w:jc w:val="center"/>
              <w:outlineLvl w:val="0"/>
            </w:pPr>
            <w:r>
              <w:t>3</w:t>
            </w:r>
          </w:p>
        </w:tc>
        <w:tc>
          <w:tcPr>
            <w:tcW w:w="1286" w:type="dxa"/>
          </w:tcPr>
          <w:p w:rsidR="001E6BA5" w:rsidRDefault="00A01472" w:rsidP="001E6BA5">
            <w:pPr>
              <w:jc w:val="center"/>
              <w:outlineLvl w:val="0"/>
            </w:pPr>
            <w:r>
              <w:t>18.75%</w:t>
            </w:r>
          </w:p>
        </w:tc>
      </w:tr>
      <w:tr w:rsidR="001E6BA5" w:rsidTr="00D64404">
        <w:trPr>
          <w:trHeight w:val="253"/>
        </w:trPr>
        <w:tc>
          <w:tcPr>
            <w:tcW w:w="1526" w:type="dxa"/>
          </w:tcPr>
          <w:p w:rsidR="001E6BA5" w:rsidRDefault="001E6BA5" w:rsidP="001E6BA5">
            <w:pPr>
              <w:outlineLvl w:val="0"/>
            </w:pPr>
            <w:r>
              <w:t>Exploratory</w:t>
            </w:r>
          </w:p>
        </w:tc>
        <w:tc>
          <w:tcPr>
            <w:tcW w:w="1286" w:type="dxa"/>
          </w:tcPr>
          <w:p w:rsidR="001E6BA5" w:rsidRDefault="00B61BB8" w:rsidP="001E6BA5">
            <w:pPr>
              <w:jc w:val="center"/>
              <w:outlineLvl w:val="0"/>
            </w:pPr>
            <w:r>
              <w:t>0</w:t>
            </w:r>
          </w:p>
        </w:tc>
        <w:tc>
          <w:tcPr>
            <w:tcW w:w="1286" w:type="dxa"/>
          </w:tcPr>
          <w:p w:rsidR="001E6BA5" w:rsidRDefault="00B61BB8" w:rsidP="001E6BA5">
            <w:pPr>
              <w:jc w:val="center"/>
              <w:outlineLvl w:val="0"/>
            </w:pPr>
            <w:r>
              <w:t>0%</w:t>
            </w:r>
          </w:p>
        </w:tc>
        <w:tc>
          <w:tcPr>
            <w:tcW w:w="1286" w:type="dxa"/>
          </w:tcPr>
          <w:p w:rsidR="001E6BA5" w:rsidRDefault="00B90BCE" w:rsidP="001E6BA5">
            <w:pPr>
              <w:jc w:val="center"/>
              <w:outlineLvl w:val="0"/>
            </w:pPr>
            <w:r>
              <w:t>1</w:t>
            </w:r>
          </w:p>
        </w:tc>
        <w:tc>
          <w:tcPr>
            <w:tcW w:w="1286" w:type="dxa"/>
          </w:tcPr>
          <w:p w:rsidR="001E6BA5" w:rsidRDefault="00EA7094" w:rsidP="001E6BA5">
            <w:pPr>
              <w:jc w:val="center"/>
              <w:outlineLvl w:val="0"/>
            </w:pPr>
            <w:r>
              <w:t>4.35%</w:t>
            </w:r>
          </w:p>
        </w:tc>
        <w:tc>
          <w:tcPr>
            <w:tcW w:w="1286" w:type="dxa"/>
          </w:tcPr>
          <w:p w:rsidR="001E6BA5" w:rsidRDefault="00EA7094" w:rsidP="001E6BA5">
            <w:pPr>
              <w:jc w:val="center"/>
              <w:outlineLvl w:val="0"/>
            </w:pPr>
            <w:r>
              <w:t>0</w:t>
            </w:r>
          </w:p>
        </w:tc>
        <w:tc>
          <w:tcPr>
            <w:tcW w:w="1286" w:type="dxa"/>
          </w:tcPr>
          <w:p w:rsidR="001E6BA5" w:rsidRDefault="00A01472" w:rsidP="001E6BA5">
            <w:pPr>
              <w:jc w:val="center"/>
              <w:outlineLvl w:val="0"/>
            </w:pPr>
            <w:r>
              <w:t>0%</w:t>
            </w:r>
          </w:p>
        </w:tc>
      </w:tr>
      <w:tr w:rsidR="001E6BA5" w:rsidTr="00D64404">
        <w:trPr>
          <w:trHeight w:val="253"/>
        </w:trPr>
        <w:tc>
          <w:tcPr>
            <w:tcW w:w="1526" w:type="dxa"/>
          </w:tcPr>
          <w:p w:rsidR="001E6BA5" w:rsidRDefault="001E6BA5" w:rsidP="001E6BA5">
            <w:pPr>
              <w:outlineLvl w:val="0"/>
            </w:pPr>
            <w:r>
              <w:t>Clarifications</w:t>
            </w:r>
          </w:p>
        </w:tc>
        <w:tc>
          <w:tcPr>
            <w:tcW w:w="1286" w:type="dxa"/>
          </w:tcPr>
          <w:p w:rsidR="001E6BA5" w:rsidRDefault="0053143B" w:rsidP="001E6BA5">
            <w:pPr>
              <w:jc w:val="center"/>
              <w:outlineLvl w:val="0"/>
            </w:pPr>
            <w:r>
              <w:t>3</w:t>
            </w:r>
          </w:p>
        </w:tc>
        <w:tc>
          <w:tcPr>
            <w:tcW w:w="1286" w:type="dxa"/>
          </w:tcPr>
          <w:p w:rsidR="001E6BA5" w:rsidRDefault="00204873" w:rsidP="001E6BA5">
            <w:pPr>
              <w:jc w:val="center"/>
              <w:outlineLvl w:val="0"/>
            </w:pPr>
            <w:r>
              <w:t>37.5%</w:t>
            </w:r>
          </w:p>
        </w:tc>
        <w:tc>
          <w:tcPr>
            <w:tcW w:w="1286" w:type="dxa"/>
          </w:tcPr>
          <w:p w:rsidR="001E6BA5" w:rsidRDefault="006C7952" w:rsidP="001E6BA5">
            <w:pPr>
              <w:jc w:val="center"/>
              <w:outlineLvl w:val="0"/>
            </w:pPr>
            <w:r>
              <w:t>4</w:t>
            </w:r>
          </w:p>
        </w:tc>
        <w:tc>
          <w:tcPr>
            <w:tcW w:w="1286" w:type="dxa"/>
          </w:tcPr>
          <w:p w:rsidR="001E6BA5" w:rsidRDefault="00EA7094" w:rsidP="001E6BA5">
            <w:pPr>
              <w:jc w:val="center"/>
              <w:outlineLvl w:val="0"/>
            </w:pPr>
            <w:r>
              <w:t>17.40%</w:t>
            </w:r>
          </w:p>
        </w:tc>
        <w:tc>
          <w:tcPr>
            <w:tcW w:w="1286" w:type="dxa"/>
          </w:tcPr>
          <w:p w:rsidR="001E6BA5" w:rsidRDefault="00650176" w:rsidP="001E6BA5">
            <w:pPr>
              <w:jc w:val="center"/>
              <w:outlineLvl w:val="0"/>
            </w:pPr>
            <w:r>
              <w:t>4</w:t>
            </w:r>
          </w:p>
        </w:tc>
        <w:tc>
          <w:tcPr>
            <w:tcW w:w="1286" w:type="dxa"/>
          </w:tcPr>
          <w:p w:rsidR="001E6BA5" w:rsidRDefault="00A01472" w:rsidP="001E6BA5">
            <w:pPr>
              <w:jc w:val="center"/>
              <w:outlineLvl w:val="0"/>
            </w:pPr>
            <w:r>
              <w:t>25%</w:t>
            </w:r>
          </w:p>
        </w:tc>
      </w:tr>
      <w:tr w:rsidR="001E6BA5" w:rsidTr="00D64404">
        <w:trPr>
          <w:trHeight w:val="253"/>
        </w:trPr>
        <w:tc>
          <w:tcPr>
            <w:tcW w:w="1526" w:type="dxa"/>
          </w:tcPr>
          <w:p w:rsidR="001E6BA5" w:rsidRDefault="001E6BA5" w:rsidP="001E6BA5">
            <w:pPr>
              <w:outlineLvl w:val="0"/>
            </w:pPr>
            <w:r>
              <w:t>Questions</w:t>
            </w:r>
          </w:p>
        </w:tc>
        <w:tc>
          <w:tcPr>
            <w:tcW w:w="1286" w:type="dxa"/>
          </w:tcPr>
          <w:p w:rsidR="001E6BA5" w:rsidRDefault="0053143B" w:rsidP="001E6BA5">
            <w:pPr>
              <w:jc w:val="center"/>
              <w:outlineLvl w:val="0"/>
            </w:pPr>
            <w:r>
              <w:t>1</w:t>
            </w:r>
          </w:p>
        </w:tc>
        <w:tc>
          <w:tcPr>
            <w:tcW w:w="1286" w:type="dxa"/>
          </w:tcPr>
          <w:p w:rsidR="001E6BA5" w:rsidRDefault="00B61BB8" w:rsidP="001E6BA5">
            <w:pPr>
              <w:jc w:val="center"/>
              <w:outlineLvl w:val="0"/>
            </w:pPr>
            <w:r>
              <w:t>12.5</w:t>
            </w:r>
          </w:p>
        </w:tc>
        <w:tc>
          <w:tcPr>
            <w:tcW w:w="1286" w:type="dxa"/>
          </w:tcPr>
          <w:p w:rsidR="001E6BA5" w:rsidRDefault="009F47A0" w:rsidP="001E6BA5">
            <w:pPr>
              <w:jc w:val="center"/>
              <w:outlineLvl w:val="0"/>
            </w:pPr>
            <w:r>
              <w:t>6</w:t>
            </w:r>
          </w:p>
        </w:tc>
        <w:tc>
          <w:tcPr>
            <w:tcW w:w="1286" w:type="dxa"/>
          </w:tcPr>
          <w:p w:rsidR="001E6BA5" w:rsidRDefault="00F47C1A" w:rsidP="001E6BA5">
            <w:pPr>
              <w:jc w:val="center"/>
              <w:outlineLvl w:val="0"/>
            </w:pPr>
            <w:r>
              <w:t>2</w:t>
            </w:r>
            <w:r w:rsidR="00EA7094">
              <w:t>6</w:t>
            </w:r>
            <w:r>
              <w:t>.09%</w:t>
            </w:r>
          </w:p>
        </w:tc>
        <w:tc>
          <w:tcPr>
            <w:tcW w:w="1286" w:type="dxa"/>
          </w:tcPr>
          <w:p w:rsidR="001E6BA5" w:rsidRDefault="005A7AEE" w:rsidP="001E6BA5">
            <w:pPr>
              <w:jc w:val="center"/>
              <w:outlineLvl w:val="0"/>
            </w:pPr>
            <w:r>
              <w:t>3</w:t>
            </w:r>
          </w:p>
        </w:tc>
        <w:tc>
          <w:tcPr>
            <w:tcW w:w="1286" w:type="dxa"/>
          </w:tcPr>
          <w:p w:rsidR="001E6BA5" w:rsidRDefault="00A01472" w:rsidP="001E6BA5">
            <w:pPr>
              <w:jc w:val="center"/>
              <w:outlineLvl w:val="0"/>
            </w:pPr>
            <w:r>
              <w:t>18.75%</w:t>
            </w:r>
          </w:p>
        </w:tc>
      </w:tr>
      <w:tr w:rsidR="001E6BA5" w:rsidTr="00D64404">
        <w:trPr>
          <w:trHeight w:val="253"/>
        </w:trPr>
        <w:tc>
          <w:tcPr>
            <w:tcW w:w="1526" w:type="dxa"/>
          </w:tcPr>
          <w:p w:rsidR="001E6BA5" w:rsidRDefault="001E6BA5" w:rsidP="001E6BA5">
            <w:pPr>
              <w:outlineLvl w:val="0"/>
            </w:pPr>
            <w:r>
              <w:t>Corrections</w:t>
            </w:r>
          </w:p>
        </w:tc>
        <w:tc>
          <w:tcPr>
            <w:tcW w:w="1286" w:type="dxa"/>
          </w:tcPr>
          <w:p w:rsidR="001E6BA5" w:rsidRDefault="00B61BB8" w:rsidP="001E6BA5">
            <w:pPr>
              <w:jc w:val="center"/>
              <w:outlineLvl w:val="0"/>
            </w:pPr>
            <w:r>
              <w:t>0</w:t>
            </w:r>
          </w:p>
        </w:tc>
        <w:tc>
          <w:tcPr>
            <w:tcW w:w="1286" w:type="dxa"/>
          </w:tcPr>
          <w:p w:rsidR="001E6BA5" w:rsidRDefault="00B61BB8" w:rsidP="001E6BA5">
            <w:pPr>
              <w:jc w:val="center"/>
              <w:outlineLvl w:val="0"/>
            </w:pPr>
            <w:r>
              <w:t>0%</w:t>
            </w:r>
          </w:p>
        </w:tc>
        <w:tc>
          <w:tcPr>
            <w:tcW w:w="1286" w:type="dxa"/>
          </w:tcPr>
          <w:p w:rsidR="001E6BA5" w:rsidRDefault="00204873" w:rsidP="001E6BA5">
            <w:pPr>
              <w:jc w:val="center"/>
              <w:outlineLvl w:val="0"/>
            </w:pPr>
            <w:r>
              <w:t>0</w:t>
            </w:r>
          </w:p>
        </w:tc>
        <w:tc>
          <w:tcPr>
            <w:tcW w:w="1286" w:type="dxa"/>
          </w:tcPr>
          <w:p w:rsidR="001E6BA5" w:rsidRDefault="00416105" w:rsidP="001E6BA5">
            <w:pPr>
              <w:jc w:val="center"/>
              <w:outlineLvl w:val="0"/>
            </w:pPr>
            <w:r>
              <w:t>0%</w:t>
            </w:r>
          </w:p>
        </w:tc>
        <w:tc>
          <w:tcPr>
            <w:tcW w:w="1286" w:type="dxa"/>
          </w:tcPr>
          <w:p w:rsidR="001E6BA5" w:rsidRDefault="00EA7094" w:rsidP="001E6BA5">
            <w:pPr>
              <w:jc w:val="center"/>
              <w:outlineLvl w:val="0"/>
            </w:pPr>
            <w:r>
              <w:t>0</w:t>
            </w:r>
          </w:p>
        </w:tc>
        <w:tc>
          <w:tcPr>
            <w:tcW w:w="1286" w:type="dxa"/>
          </w:tcPr>
          <w:p w:rsidR="001E6BA5" w:rsidRDefault="00A01472" w:rsidP="001E6BA5">
            <w:pPr>
              <w:jc w:val="center"/>
              <w:outlineLvl w:val="0"/>
            </w:pPr>
            <w:r>
              <w:t>0%</w:t>
            </w:r>
          </w:p>
        </w:tc>
      </w:tr>
      <w:tr w:rsidR="001E6BA5" w:rsidTr="00D64404">
        <w:trPr>
          <w:trHeight w:val="253"/>
        </w:trPr>
        <w:tc>
          <w:tcPr>
            <w:tcW w:w="1526" w:type="dxa"/>
          </w:tcPr>
          <w:p w:rsidR="001E6BA5" w:rsidRDefault="001E6BA5" w:rsidP="001E6BA5">
            <w:pPr>
              <w:outlineLvl w:val="0"/>
            </w:pPr>
            <w:r>
              <w:t>Correction to content</w:t>
            </w:r>
          </w:p>
        </w:tc>
        <w:tc>
          <w:tcPr>
            <w:tcW w:w="1286" w:type="dxa"/>
          </w:tcPr>
          <w:p w:rsidR="0018015F" w:rsidRDefault="0018015F" w:rsidP="001E6BA5">
            <w:pPr>
              <w:jc w:val="center"/>
              <w:outlineLvl w:val="0"/>
            </w:pPr>
          </w:p>
          <w:p w:rsidR="001E6BA5" w:rsidRDefault="0018015F" w:rsidP="001E6BA5">
            <w:pPr>
              <w:jc w:val="center"/>
              <w:outlineLvl w:val="0"/>
            </w:pPr>
            <w:r>
              <w:t>1</w:t>
            </w:r>
          </w:p>
        </w:tc>
        <w:tc>
          <w:tcPr>
            <w:tcW w:w="1286" w:type="dxa"/>
          </w:tcPr>
          <w:p w:rsidR="001E6BA5" w:rsidRDefault="001E6BA5" w:rsidP="001E6BA5">
            <w:pPr>
              <w:jc w:val="center"/>
              <w:outlineLvl w:val="0"/>
            </w:pPr>
          </w:p>
          <w:p w:rsidR="00B61BB8" w:rsidRDefault="00B61BB8" w:rsidP="001E6BA5">
            <w:pPr>
              <w:jc w:val="center"/>
              <w:outlineLvl w:val="0"/>
            </w:pPr>
            <w:r>
              <w:t>12.5%</w:t>
            </w:r>
          </w:p>
        </w:tc>
        <w:tc>
          <w:tcPr>
            <w:tcW w:w="1286" w:type="dxa"/>
          </w:tcPr>
          <w:p w:rsidR="001C2547" w:rsidRDefault="001C2547" w:rsidP="001E6BA5">
            <w:pPr>
              <w:jc w:val="center"/>
              <w:outlineLvl w:val="0"/>
            </w:pPr>
          </w:p>
          <w:p w:rsidR="001E6BA5" w:rsidRDefault="001C2547" w:rsidP="001E6BA5">
            <w:pPr>
              <w:jc w:val="center"/>
              <w:outlineLvl w:val="0"/>
            </w:pPr>
            <w:r>
              <w:t>1</w:t>
            </w:r>
          </w:p>
        </w:tc>
        <w:tc>
          <w:tcPr>
            <w:tcW w:w="1286" w:type="dxa"/>
          </w:tcPr>
          <w:p w:rsidR="001E6BA5" w:rsidRDefault="001E6BA5" w:rsidP="001E6BA5">
            <w:pPr>
              <w:jc w:val="center"/>
              <w:outlineLvl w:val="0"/>
            </w:pPr>
          </w:p>
          <w:p w:rsidR="007F3358" w:rsidRDefault="00F47C1A" w:rsidP="001E6BA5">
            <w:pPr>
              <w:jc w:val="center"/>
              <w:outlineLvl w:val="0"/>
            </w:pPr>
            <w:r>
              <w:t>4.35%</w:t>
            </w:r>
          </w:p>
        </w:tc>
        <w:tc>
          <w:tcPr>
            <w:tcW w:w="1286" w:type="dxa"/>
          </w:tcPr>
          <w:p w:rsidR="00D64404" w:rsidRDefault="00D64404" w:rsidP="001E6BA5">
            <w:pPr>
              <w:jc w:val="center"/>
              <w:outlineLvl w:val="0"/>
            </w:pPr>
          </w:p>
          <w:p w:rsidR="001E6BA5" w:rsidRDefault="005C0506" w:rsidP="001E6BA5">
            <w:pPr>
              <w:jc w:val="center"/>
              <w:outlineLvl w:val="0"/>
            </w:pPr>
            <w:r>
              <w:t>1</w:t>
            </w:r>
          </w:p>
        </w:tc>
        <w:tc>
          <w:tcPr>
            <w:tcW w:w="1286" w:type="dxa"/>
          </w:tcPr>
          <w:p w:rsidR="001E6BA5" w:rsidRDefault="001E6BA5" w:rsidP="001E6BA5">
            <w:pPr>
              <w:jc w:val="center"/>
              <w:outlineLvl w:val="0"/>
            </w:pPr>
          </w:p>
          <w:p w:rsidR="00A01472" w:rsidRDefault="00A01472" w:rsidP="001E6BA5">
            <w:pPr>
              <w:jc w:val="center"/>
              <w:outlineLvl w:val="0"/>
            </w:pPr>
            <w:r>
              <w:t>6.25%</w:t>
            </w:r>
          </w:p>
        </w:tc>
      </w:tr>
      <w:tr w:rsidR="001E6BA5" w:rsidTr="00D64404">
        <w:trPr>
          <w:trHeight w:val="253"/>
        </w:trPr>
        <w:tc>
          <w:tcPr>
            <w:tcW w:w="1526" w:type="dxa"/>
          </w:tcPr>
          <w:p w:rsidR="001E6BA5" w:rsidRDefault="001E6BA5" w:rsidP="001E6BA5">
            <w:pPr>
              <w:outlineLvl w:val="0"/>
            </w:pPr>
            <w:r>
              <w:t>Aggressive questioning</w:t>
            </w:r>
          </w:p>
        </w:tc>
        <w:tc>
          <w:tcPr>
            <w:tcW w:w="1286" w:type="dxa"/>
          </w:tcPr>
          <w:p w:rsidR="001E6BA5" w:rsidRDefault="001E6BA5" w:rsidP="001E6BA5">
            <w:pPr>
              <w:jc w:val="center"/>
              <w:outlineLvl w:val="0"/>
            </w:pPr>
          </w:p>
          <w:p w:rsidR="00BA506B" w:rsidRDefault="00BA506B" w:rsidP="001E6BA5">
            <w:pPr>
              <w:jc w:val="center"/>
              <w:outlineLvl w:val="0"/>
            </w:pPr>
            <w:r>
              <w:t>0</w:t>
            </w:r>
          </w:p>
        </w:tc>
        <w:tc>
          <w:tcPr>
            <w:tcW w:w="1286" w:type="dxa"/>
          </w:tcPr>
          <w:p w:rsidR="001E6BA5" w:rsidRDefault="001E6BA5" w:rsidP="001E6BA5">
            <w:pPr>
              <w:jc w:val="center"/>
              <w:outlineLvl w:val="0"/>
            </w:pPr>
          </w:p>
          <w:p w:rsidR="00BA506B" w:rsidRDefault="00BA506B" w:rsidP="001E6BA5">
            <w:pPr>
              <w:jc w:val="center"/>
              <w:outlineLvl w:val="0"/>
            </w:pPr>
            <w:r>
              <w:t>0%</w:t>
            </w:r>
          </w:p>
        </w:tc>
        <w:tc>
          <w:tcPr>
            <w:tcW w:w="1286" w:type="dxa"/>
          </w:tcPr>
          <w:p w:rsidR="001E6BA5" w:rsidRDefault="001E6BA5" w:rsidP="001E6BA5">
            <w:pPr>
              <w:jc w:val="center"/>
              <w:outlineLvl w:val="0"/>
            </w:pPr>
          </w:p>
          <w:p w:rsidR="00204873" w:rsidRDefault="00204873" w:rsidP="001E6BA5">
            <w:pPr>
              <w:jc w:val="center"/>
              <w:outlineLvl w:val="0"/>
            </w:pPr>
            <w:r>
              <w:t>0</w:t>
            </w:r>
          </w:p>
        </w:tc>
        <w:tc>
          <w:tcPr>
            <w:tcW w:w="1286" w:type="dxa"/>
          </w:tcPr>
          <w:p w:rsidR="001E6BA5" w:rsidRDefault="001E6BA5" w:rsidP="001E6BA5">
            <w:pPr>
              <w:jc w:val="center"/>
              <w:outlineLvl w:val="0"/>
            </w:pPr>
          </w:p>
          <w:p w:rsidR="00416105" w:rsidRDefault="00416105" w:rsidP="001E6BA5">
            <w:pPr>
              <w:jc w:val="center"/>
              <w:outlineLvl w:val="0"/>
            </w:pPr>
            <w:r>
              <w:t>0%</w:t>
            </w:r>
          </w:p>
        </w:tc>
        <w:tc>
          <w:tcPr>
            <w:tcW w:w="1286" w:type="dxa"/>
          </w:tcPr>
          <w:p w:rsidR="001E6BA5" w:rsidRDefault="001E6BA5" w:rsidP="001E6BA5">
            <w:pPr>
              <w:jc w:val="center"/>
              <w:outlineLvl w:val="0"/>
            </w:pPr>
          </w:p>
          <w:p w:rsidR="00EA7094" w:rsidRDefault="00EA7094" w:rsidP="001E6BA5">
            <w:pPr>
              <w:jc w:val="center"/>
              <w:outlineLvl w:val="0"/>
            </w:pPr>
            <w:r>
              <w:t>0</w:t>
            </w:r>
          </w:p>
        </w:tc>
        <w:tc>
          <w:tcPr>
            <w:tcW w:w="1286" w:type="dxa"/>
          </w:tcPr>
          <w:p w:rsidR="001E6BA5" w:rsidRDefault="001E6BA5" w:rsidP="001E6BA5">
            <w:pPr>
              <w:jc w:val="center"/>
              <w:outlineLvl w:val="0"/>
            </w:pPr>
          </w:p>
          <w:p w:rsidR="00A01472" w:rsidRDefault="00A01472" w:rsidP="001E6BA5">
            <w:pPr>
              <w:jc w:val="center"/>
              <w:outlineLvl w:val="0"/>
            </w:pPr>
            <w:r>
              <w:t>0%</w:t>
            </w:r>
          </w:p>
        </w:tc>
      </w:tr>
      <w:tr w:rsidR="001E6BA5" w:rsidTr="00D64404">
        <w:trPr>
          <w:trHeight w:val="253"/>
        </w:trPr>
        <w:tc>
          <w:tcPr>
            <w:tcW w:w="1526" w:type="dxa"/>
          </w:tcPr>
          <w:p w:rsidR="001E6BA5" w:rsidRDefault="001E6BA5" w:rsidP="001E6BA5">
            <w:pPr>
              <w:outlineLvl w:val="0"/>
            </w:pPr>
            <w:r>
              <w:t>Nothing detected</w:t>
            </w:r>
          </w:p>
        </w:tc>
        <w:tc>
          <w:tcPr>
            <w:tcW w:w="1286" w:type="dxa"/>
          </w:tcPr>
          <w:p w:rsidR="001E6BA5" w:rsidRDefault="008709B4" w:rsidP="001E6BA5">
            <w:pPr>
              <w:jc w:val="center"/>
              <w:outlineLvl w:val="0"/>
            </w:pPr>
            <w:r>
              <w:t>1</w:t>
            </w:r>
          </w:p>
        </w:tc>
        <w:tc>
          <w:tcPr>
            <w:tcW w:w="1286" w:type="dxa"/>
          </w:tcPr>
          <w:p w:rsidR="001E6BA5" w:rsidRDefault="00B61BB8" w:rsidP="001E6BA5">
            <w:pPr>
              <w:jc w:val="center"/>
              <w:outlineLvl w:val="0"/>
            </w:pPr>
            <w:r>
              <w:t>12.5%</w:t>
            </w:r>
          </w:p>
        </w:tc>
        <w:tc>
          <w:tcPr>
            <w:tcW w:w="1286" w:type="dxa"/>
          </w:tcPr>
          <w:p w:rsidR="001E6BA5" w:rsidRDefault="001E6BA5" w:rsidP="001E6BA5">
            <w:pPr>
              <w:jc w:val="center"/>
              <w:outlineLvl w:val="0"/>
            </w:pPr>
          </w:p>
          <w:p w:rsidR="00204873" w:rsidRDefault="00204873" w:rsidP="001E6BA5">
            <w:pPr>
              <w:jc w:val="center"/>
              <w:outlineLvl w:val="0"/>
            </w:pPr>
            <w:r>
              <w:t>0</w:t>
            </w:r>
          </w:p>
        </w:tc>
        <w:tc>
          <w:tcPr>
            <w:tcW w:w="1286" w:type="dxa"/>
          </w:tcPr>
          <w:p w:rsidR="001E6BA5" w:rsidRDefault="001E6BA5" w:rsidP="001E6BA5">
            <w:pPr>
              <w:jc w:val="center"/>
              <w:outlineLvl w:val="0"/>
            </w:pPr>
          </w:p>
          <w:p w:rsidR="00416105" w:rsidRDefault="00416105" w:rsidP="001E6BA5">
            <w:pPr>
              <w:jc w:val="center"/>
              <w:outlineLvl w:val="0"/>
            </w:pPr>
            <w:r>
              <w:t>0%</w:t>
            </w:r>
          </w:p>
        </w:tc>
        <w:tc>
          <w:tcPr>
            <w:tcW w:w="1286" w:type="dxa"/>
          </w:tcPr>
          <w:p w:rsidR="001E6BA5" w:rsidRDefault="001E6BA5" w:rsidP="001E6BA5">
            <w:pPr>
              <w:jc w:val="center"/>
              <w:outlineLvl w:val="0"/>
            </w:pPr>
          </w:p>
          <w:p w:rsidR="00EA7094" w:rsidRDefault="00EA7094" w:rsidP="001E6BA5">
            <w:pPr>
              <w:jc w:val="center"/>
              <w:outlineLvl w:val="0"/>
            </w:pPr>
            <w:r>
              <w:t>0</w:t>
            </w:r>
          </w:p>
        </w:tc>
        <w:tc>
          <w:tcPr>
            <w:tcW w:w="1286" w:type="dxa"/>
          </w:tcPr>
          <w:p w:rsidR="001E6BA5" w:rsidRDefault="001E6BA5" w:rsidP="001E6BA5">
            <w:pPr>
              <w:jc w:val="center"/>
              <w:outlineLvl w:val="0"/>
            </w:pPr>
          </w:p>
          <w:p w:rsidR="00A01472" w:rsidRDefault="00A01472" w:rsidP="001E6BA5">
            <w:pPr>
              <w:jc w:val="center"/>
              <w:outlineLvl w:val="0"/>
            </w:pPr>
            <w:r>
              <w:t>0%</w:t>
            </w:r>
          </w:p>
        </w:tc>
      </w:tr>
      <w:tr w:rsidR="00A057F8" w:rsidTr="00D64404">
        <w:trPr>
          <w:trHeight w:val="253"/>
        </w:trPr>
        <w:tc>
          <w:tcPr>
            <w:tcW w:w="1526" w:type="dxa"/>
          </w:tcPr>
          <w:p w:rsidR="00A057F8" w:rsidRDefault="00A057F8" w:rsidP="001E6BA5">
            <w:pPr>
              <w:outlineLvl w:val="0"/>
            </w:pPr>
            <w:r>
              <w:t>Total</w:t>
            </w:r>
          </w:p>
        </w:tc>
        <w:tc>
          <w:tcPr>
            <w:tcW w:w="1286" w:type="dxa"/>
          </w:tcPr>
          <w:p w:rsidR="00A057F8" w:rsidRDefault="00A057F8" w:rsidP="001E6BA5">
            <w:pPr>
              <w:jc w:val="center"/>
              <w:outlineLvl w:val="0"/>
            </w:pPr>
            <w:r>
              <w:t>8</w:t>
            </w:r>
          </w:p>
        </w:tc>
        <w:tc>
          <w:tcPr>
            <w:tcW w:w="1286" w:type="dxa"/>
          </w:tcPr>
          <w:p w:rsidR="00A057F8" w:rsidRDefault="008D70CE" w:rsidP="001E6BA5">
            <w:pPr>
              <w:jc w:val="center"/>
              <w:outlineLvl w:val="0"/>
            </w:pPr>
            <w:r>
              <w:t>100%</w:t>
            </w:r>
          </w:p>
        </w:tc>
        <w:tc>
          <w:tcPr>
            <w:tcW w:w="1286" w:type="dxa"/>
          </w:tcPr>
          <w:p w:rsidR="00A057F8" w:rsidRDefault="00A057F8" w:rsidP="001E6BA5">
            <w:pPr>
              <w:jc w:val="center"/>
              <w:outlineLvl w:val="0"/>
            </w:pPr>
            <w:r>
              <w:t>23</w:t>
            </w:r>
          </w:p>
        </w:tc>
        <w:tc>
          <w:tcPr>
            <w:tcW w:w="1286" w:type="dxa"/>
          </w:tcPr>
          <w:p w:rsidR="00A057F8" w:rsidRDefault="008D70CE" w:rsidP="001E6BA5">
            <w:pPr>
              <w:jc w:val="center"/>
              <w:outlineLvl w:val="0"/>
            </w:pPr>
            <w:r>
              <w:t>100%</w:t>
            </w:r>
          </w:p>
        </w:tc>
        <w:tc>
          <w:tcPr>
            <w:tcW w:w="1286" w:type="dxa"/>
          </w:tcPr>
          <w:p w:rsidR="00A057F8" w:rsidRDefault="00A057F8" w:rsidP="001E6BA5">
            <w:pPr>
              <w:jc w:val="center"/>
              <w:outlineLvl w:val="0"/>
            </w:pPr>
            <w:r>
              <w:t>16</w:t>
            </w:r>
          </w:p>
        </w:tc>
        <w:tc>
          <w:tcPr>
            <w:tcW w:w="1286" w:type="dxa"/>
          </w:tcPr>
          <w:p w:rsidR="00A057F8" w:rsidRDefault="008D70CE" w:rsidP="001E6BA5">
            <w:pPr>
              <w:jc w:val="center"/>
              <w:outlineLvl w:val="0"/>
            </w:pPr>
            <w:r>
              <w:t>100%</w:t>
            </w:r>
          </w:p>
        </w:tc>
      </w:tr>
    </w:tbl>
    <w:p w:rsidR="00A15214" w:rsidRDefault="00A15214" w:rsidP="000C2BB7">
      <w:pPr>
        <w:spacing w:after="0" w:line="240" w:lineRule="auto"/>
        <w:outlineLvl w:val="0"/>
      </w:pPr>
    </w:p>
    <w:p w:rsidR="00341411" w:rsidRDefault="00B74945" w:rsidP="008F5356">
      <w:pPr>
        <w:spacing w:after="0" w:line="480" w:lineRule="auto"/>
        <w:outlineLvl w:val="0"/>
      </w:pPr>
      <w:r>
        <w:lastRenderedPageBreak/>
        <w:tab/>
      </w:r>
      <w:r w:rsidR="00B338C3">
        <w:t xml:space="preserve">These numbers </w:t>
      </w:r>
      <w:r w:rsidR="00EE09AF">
        <w:t>stemmed from</w:t>
      </w:r>
      <w:r w:rsidR="00B338C3">
        <w:t xml:space="preserve"> a total number of </w:t>
      </w:r>
      <w:r w:rsidR="00B96B91">
        <w:t>thirteen</w:t>
      </w:r>
      <w:r w:rsidR="00B338C3">
        <w:t xml:space="preserve"> messages posted.</w:t>
      </w:r>
      <w:r w:rsidR="00EE09AF">
        <w:t xml:space="preserve"> The</w:t>
      </w:r>
      <w:r w:rsidR="00B96B91">
        <w:t>re were four messages</w:t>
      </w:r>
      <w:r w:rsidR="00B338C3">
        <w:t xml:space="preserve"> </w:t>
      </w:r>
      <w:r w:rsidR="004D130F">
        <w:t>taken from the first course</w:t>
      </w:r>
      <w:r w:rsidR="00B96B91">
        <w:t>, six from the second course, and three from the last one</w:t>
      </w:r>
      <w:r w:rsidR="00B81199">
        <w:t xml:space="preserve">. </w:t>
      </w:r>
      <w:r w:rsidR="005900CC">
        <w:t xml:space="preserve">It should be noted here that </w:t>
      </w:r>
      <w:r w:rsidR="0009373A">
        <w:t>the total number of instructor responses is greater than the total number of messages</w:t>
      </w:r>
      <w:r w:rsidR="00EA5524">
        <w:t xml:space="preserve"> since</w:t>
      </w:r>
      <w:r w:rsidR="0009373A">
        <w:t xml:space="preserve"> </w:t>
      </w:r>
      <w:r w:rsidR="00A75EEF">
        <w:t xml:space="preserve">each message may have included more than one response. </w:t>
      </w:r>
      <w:r w:rsidR="005D0167">
        <w:t xml:space="preserve">Likewise, there were cases where </w:t>
      </w:r>
      <w:r w:rsidR="00383E67">
        <w:t xml:space="preserve">one single syntactic unit such as a sentence contained more than one response category while </w:t>
      </w:r>
      <w:r w:rsidR="009C3407">
        <w:t xml:space="preserve">there were also more than one sentence that constituted a certain type of response all together. </w:t>
      </w:r>
      <w:r w:rsidR="003242CA">
        <w:t xml:space="preserve">For instance, </w:t>
      </w:r>
      <w:r w:rsidR="000F6D50">
        <w:t>a question</w:t>
      </w:r>
      <w:r w:rsidR="00310AE5">
        <w:t xml:space="preserve"> sentence</w:t>
      </w:r>
      <w:r w:rsidR="000F6D50">
        <w:t xml:space="preserve"> referred to both a question and clarification </w:t>
      </w:r>
      <w:r w:rsidR="00310AE5">
        <w:t xml:space="preserve">response </w:t>
      </w:r>
      <w:r w:rsidR="000F6D50">
        <w:t xml:space="preserve">while </w:t>
      </w:r>
      <w:r w:rsidR="00310AE5">
        <w:t>a few</w:t>
      </w:r>
      <w:r w:rsidR="000F6D50">
        <w:t xml:space="preserve"> question </w:t>
      </w:r>
      <w:r w:rsidR="00310AE5">
        <w:t xml:space="preserve">sentences </w:t>
      </w:r>
      <w:r w:rsidR="000F6D50">
        <w:t xml:space="preserve">were actually asking for the same information. </w:t>
      </w:r>
      <w:r w:rsidR="00832368">
        <w:t>Finally</w:t>
      </w:r>
      <w:r w:rsidR="000F6D50">
        <w:t xml:space="preserve">, </w:t>
      </w:r>
      <w:r w:rsidR="00F83CD1">
        <w:t xml:space="preserve">Table 5 above shows that </w:t>
      </w:r>
      <w:r w:rsidR="00341411">
        <w:t>instructor participation differed across the courses</w:t>
      </w:r>
      <w:r w:rsidR="006316A8">
        <w:t xml:space="preserve"> in terms of the number of responses they posted during online discussions</w:t>
      </w:r>
      <w:r w:rsidR="00341411">
        <w:t xml:space="preserve">. </w:t>
      </w:r>
      <w:r w:rsidR="00832368">
        <w:t>Inconclusively, this might refer to different levels of participation on the part of the instructors.</w:t>
      </w:r>
    </w:p>
    <w:p w:rsidR="00EE10A3" w:rsidRDefault="00F65DA2" w:rsidP="00B11534">
      <w:pPr>
        <w:spacing w:after="0" w:line="480" w:lineRule="auto"/>
        <w:outlineLvl w:val="0"/>
      </w:pPr>
      <w:r>
        <w:tab/>
      </w:r>
      <w:proofErr w:type="gramStart"/>
      <w:r w:rsidR="00680BE5">
        <w:rPr>
          <w:b/>
        </w:rPr>
        <w:t>Interrelations</w:t>
      </w:r>
      <w:r w:rsidR="00B11534">
        <w:rPr>
          <w:b/>
        </w:rPr>
        <w:t>hips</w:t>
      </w:r>
      <w:r w:rsidR="00680BE5">
        <w:rPr>
          <w:b/>
        </w:rPr>
        <w:t xml:space="preserve"> among the Presences.</w:t>
      </w:r>
      <w:proofErr w:type="gramEnd"/>
      <w:r w:rsidR="00680BE5">
        <w:rPr>
          <w:b/>
        </w:rPr>
        <w:t xml:space="preserve"> </w:t>
      </w:r>
      <w:r w:rsidR="006C512B">
        <w:t>T</w:t>
      </w:r>
      <w:r w:rsidR="00B11534">
        <w:t xml:space="preserve">he research question focusing on the relationships among the presences ask for partial correlational analyses that control for the effect of a third presence </w:t>
      </w:r>
      <w:r w:rsidR="006C512B">
        <w:t xml:space="preserve">on the relationships between the other two presences. </w:t>
      </w:r>
      <w:r w:rsidR="002266FC">
        <w:t xml:space="preserve">The </w:t>
      </w:r>
      <w:r w:rsidR="004122FD">
        <w:t>present results</w:t>
      </w:r>
      <w:r w:rsidR="002266FC">
        <w:t xml:space="preserve">, however, also </w:t>
      </w:r>
      <w:r w:rsidR="00FC4FF7">
        <w:t xml:space="preserve">include </w:t>
      </w:r>
      <w:r w:rsidR="0038750B">
        <w:t>bivariate correlational analyses as well in order to supplement the information provided by the partial correlation analyses.</w:t>
      </w:r>
      <w:r w:rsidR="00105F48">
        <w:t xml:space="preserve"> The important thing to keep in mind is that since anony</w:t>
      </w:r>
      <w:r w:rsidR="008853E3">
        <w:t>mous coding of the discussions</w:t>
      </w:r>
      <w:r w:rsidR="00FA08F4">
        <w:t xml:space="preserve"> transcripts</w:t>
      </w:r>
      <w:r w:rsidR="008853E3">
        <w:t xml:space="preserve"> did not allow </w:t>
      </w:r>
      <w:r w:rsidR="00782C39">
        <w:t>identifying</w:t>
      </w:r>
      <w:r w:rsidR="008853E3">
        <w:t xml:space="preserve"> common owner of more than one single discussion thread, </w:t>
      </w:r>
      <w:r w:rsidR="00D0574A">
        <w:t xml:space="preserve">it was assumed that </w:t>
      </w:r>
      <w:r w:rsidR="00FA08F4">
        <w:t>these were coming from different students, which resulted in an overestimation of the number of students.</w:t>
      </w:r>
      <w:r w:rsidR="004B79E2">
        <w:t xml:space="preserve"> In this regard, only the main discussion threads and those threads whose content were </w:t>
      </w:r>
      <w:r w:rsidR="006553C0">
        <w:t>legible</w:t>
      </w:r>
      <w:r w:rsidR="004B79E2">
        <w:t xml:space="preserve"> </w:t>
      </w:r>
      <w:r w:rsidR="00F95500">
        <w:t>were taken into account.</w:t>
      </w:r>
      <w:r w:rsidR="00105F48">
        <w:t xml:space="preserve"> </w:t>
      </w:r>
      <w:r w:rsidR="00CB10BA">
        <w:t xml:space="preserve">This resulted in data coming from </w:t>
      </w:r>
      <w:r w:rsidR="007D12E3">
        <w:t xml:space="preserve">(a) sixty-three students from the first course; (b) on e hundred and thirty-two students from the second course; (c) </w:t>
      </w:r>
      <w:r w:rsidR="00D86FD7">
        <w:t>eighteen students from the third course.</w:t>
      </w:r>
    </w:p>
    <w:p w:rsidR="008473D1" w:rsidRDefault="00D41BCB" w:rsidP="00EE10A3">
      <w:pPr>
        <w:spacing w:after="0" w:line="480" w:lineRule="auto"/>
        <w:outlineLvl w:val="0"/>
      </w:pPr>
      <w:r>
        <w:lastRenderedPageBreak/>
        <w:tab/>
        <w:t xml:space="preserve">Depending on the unit of message again, </w:t>
      </w:r>
      <w:r w:rsidR="002C45CC">
        <w:t xml:space="preserve">discussion threads were coded </w:t>
      </w:r>
      <w:r w:rsidR="00EE10A3">
        <w:t xml:space="preserve">by counting the indicators of each presence. Totals of these formed the index for each presence. </w:t>
      </w:r>
      <w:r w:rsidR="003B3397">
        <w:t>Any given syntactic unit such as sentence could have included instances of more than ones presence.</w:t>
      </w:r>
      <w:r w:rsidR="006F5DDA">
        <w:t xml:space="preserve"> </w:t>
      </w:r>
    </w:p>
    <w:p w:rsidR="00EE10A3" w:rsidRDefault="008473D1" w:rsidP="00EE10A3">
      <w:pPr>
        <w:spacing w:after="0" w:line="480" w:lineRule="auto"/>
        <w:outlineLvl w:val="0"/>
      </w:pPr>
      <w:r>
        <w:tab/>
      </w:r>
      <w:r w:rsidR="00C0157C">
        <w:t>Following sections presents results of the correlational analyses done on these data.</w:t>
      </w:r>
      <w:r w:rsidR="00FB6934">
        <w:t xml:space="preserve"> </w:t>
      </w:r>
      <w:r>
        <w:t>Preliminary analysis referred to the violation of the normality assumption by the data of all the presences. As a result, Spearman`s rho (</w:t>
      </w:r>
      <w:proofErr w:type="spellStart"/>
      <w:proofErr w:type="gramStart"/>
      <w:r>
        <w:rPr>
          <w:i/>
        </w:rPr>
        <w:t>r</w:t>
      </w:r>
      <w:r>
        <w:rPr>
          <w:i/>
          <w:vertAlign w:val="subscript"/>
        </w:rPr>
        <w:t>s</w:t>
      </w:r>
      <w:proofErr w:type="spellEnd"/>
      <w:r>
        <w:rPr>
          <w:i/>
          <w:vertAlign w:val="subscript"/>
        </w:rPr>
        <w:t xml:space="preserve"> </w:t>
      </w:r>
      <w:r>
        <w:t>)</w:t>
      </w:r>
      <w:proofErr w:type="gramEnd"/>
      <w:r>
        <w:t xml:space="preserve"> was used to calculate the correlation coefficients. </w:t>
      </w:r>
      <w:r w:rsidR="00462531">
        <w:t xml:space="preserve">Moreover, due to previous research showing both positive significant correlations among the presences (e.g., </w:t>
      </w:r>
      <w:proofErr w:type="spellStart"/>
      <w:r w:rsidR="00462531">
        <w:t>Akyol</w:t>
      </w:r>
      <w:proofErr w:type="spellEnd"/>
      <w:r w:rsidR="00462531">
        <w:t xml:space="preserve"> &amp; Garrison, 2008) and causal relationships among the presences (e.g., Garrison et al., 2010), one-tailed probability was employed.</w:t>
      </w:r>
      <w:r w:rsidR="006A0310">
        <w:t xml:space="preserve"> Finally, in order to judge the strength of relationships</w:t>
      </w:r>
      <w:r w:rsidR="004C64BD">
        <w:t>,</w:t>
      </w:r>
      <w:r w:rsidR="006A0310">
        <w:t xml:space="preserve"> Cohen`s (1998) guideline was used</w:t>
      </w:r>
      <w:r w:rsidR="006F2F82">
        <w:t xml:space="preserve"> as suggested by </w:t>
      </w:r>
      <w:proofErr w:type="spellStart"/>
      <w:r w:rsidR="006F2F82">
        <w:t>Pallant</w:t>
      </w:r>
      <w:proofErr w:type="spellEnd"/>
      <w:r w:rsidR="006F2F82">
        <w:t xml:space="preserve"> (2007, p. 132)</w:t>
      </w:r>
      <w:r w:rsidR="006A0310">
        <w:t>.</w:t>
      </w:r>
      <w:r w:rsidR="00F05A53">
        <w:t xml:space="preserve"> </w:t>
      </w:r>
      <w:r w:rsidR="00462531">
        <w:t xml:space="preserve"> </w:t>
      </w:r>
      <w:r>
        <w:t xml:space="preserve">  </w:t>
      </w:r>
    </w:p>
    <w:p w:rsidR="00771236" w:rsidRDefault="00EE10A3" w:rsidP="00540A6F">
      <w:pPr>
        <w:tabs>
          <w:tab w:val="left" w:pos="709"/>
          <w:tab w:val="left" w:pos="851"/>
        </w:tabs>
        <w:spacing w:after="0" w:line="480" w:lineRule="auto"/>
      </w:pPr>
      <w:r>
        <w:rPr>
          <w:b/>
          <w:i/>
        </w:rPr>
        <w:tab/>
      </w:r>
      <w:proofErr w:type="gramStart"/>
      <w:r w:rsidR="00235470">
        <w:rPr>
          <w:b/>
          <w:i/>
        </w:rPr>
        <w:t>Student Teaching Presence and Social Presence Relationship.</w:t>
      </w:r>
      <w:proofErr w:type="gramEnd"/>
    </w:p>
    <w:p w:rsidR="00A26C01" w:rsidRDefault="00D8072B" w:rsidP="00540A6F">
      <w:pPr>
        <w:tabs>
          <w:tab w:val="left" w:pos="709"/>
          <w:tab w:val="left" w:pos="851"/>
        </w:tabs>
        <w:spacing w:after="0" w:line="480" w:lineRule="auto"/>
      </w:pPr>
      <w:r>
        <w:tab/>
      </w:r>
      <w:r w:rsidR="004457C2">
        <w:t>The number of student teaching instances caught during content analysis ranged from 12 to 70 (</w:t>
      </w:r>
      <w:r w:rsidR="004457C2">
        <w:rPr>
          <w:i/>
        </w:rPr>
        <w:t xml:space="preserve">M = </w:t>
      </w:r>
      <w:r w:rsidR="00C24FAC">
        <w:t>50.6</w:t>
      </w:r>
      <w:r w:rsidR="004457C2">
        <w:t xml:space="preserve">0, </w:t>
      </w:r>
      <w:r w:rsidR="004457C2">
        <w:rPr>
          <w:i/>
        </w:rPr>
        <w:t xml:space="preserve">SD = </w:t>
      </w:r>
      <w:r w:rsidR="00FE162A">
        <w:t>3.31</w:t>
      </w:r>
      <w:r w:rsidR="004457C2">
        <w:t>)</w:t>
      </w:r>
      <w:r w:rsidR="00CC2015">
        <w:t xml:space="preserve"> while those of social presence ranged from 13 to 56 </w:t>
      </w:r>
      <w:r w:rsidR="007874AB">
        <w:t>(</w:t>
      </w:r>
      <w:r w:rsidR="00CC2015">
        <w:rPr>
          <w:i/>
        </w:rPr>
        <w:t xml:space="preserve">M = </w:t>
      </w:r>
      <w:r w:rsidR="00CC2015">
        <w:t xml:space="preserve">37.40, </w:t>
      </w:r>
      <w:r w:rsidR="00CC2015">
        <w:rPr>
          <w:i/>
        </w:rPr>
        <w:t xml:space="preserve">SD = </w:t>
      </w:r>
      <w:r w:rsidR="00CC2015">
        <w:t xml:space="preserve">5.71). </w:t>
      </w:r>
      <w:r w:rsidR="00F05A53">
        <w:t>Correlational analysis referred to a positive significant and small</w:t>
      </w:r>
      <w:r w:rsidR="00EE7670">
        <w:t xml:space="preserve">-size correlation coefficient, </w:t>
      </w:r>
      <w:proofErr w:type="spellStart"/>
      <w:r w:rsidR="00F05A53" w:rsidRPr="00C834EA">
        <w:rPr>
          <w:i/>
        </w:rPr>
        <w:t>r</w:t>
      </w:r>
      <w:r w:rsidR="00F05A53" w:rsidRPr="00C834EA">
        <w:rPr>
          <w:i/>
          <w:vertAlign w:val="subscript"/>
        </w:rPr>
        <w:t>s</w:t>
      </w:r>
      <w:proofErr w:type="spellEnd"/>
      <w:r w:rsidR="00883AED">
        <w:t xml:space="preserve"> = </w:t>
      </w:r>
      <w:r w:rsidR="00EE7670">
        <w:t>.23</w:t>
      </w:r>
      <w:r w:rsidR="00F05A53">
        <w:t xml:space="preserve">, </w:t>
      </w:r>
      <w:r w:rsidR="00F05A53">
        <w:rPr>
          <w:i/>
        </w:rPr>
        <w:t xml:space="preserve">n </w:t>
      </w:r>
      <w:r w:rsidR="00F05A53">
        <w:t xml:space="preserve">= 213, </w:t>
      </w:r>
      <w:r w:rsidR="00F05A53">
        <w:rPr>
          <w:i/>
        </w:rPr>
        <w:t xml:space="preserve">p </w:t>
      </w:r>
      <w:r w:rsidR="00F05A53">
        <w:t>(one-tailed)</w:t>
      </w:r>
      <w:r w:rsidR="00F05A53">
        <w:rPr>
          <w:i/>
        </w:rPr>
        <w:t xml:space="preserve"> = </w:t>
      </w:r>
      <w:r w:rsidR="00C1092E">
        <w:t xml:space="preserve">.000, </w:t>
      </w:r>
      <m:oMath>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rPr>
              <m:t>2</m:t>
            </m:r>
          </m:sup>
        </m:sSubSup>
      </m:oMath>
      <w:r w:rsidR="00A21E08">
        <w:rPr>
          <w:rFonts w:eastAsiaTheme="minorEastAsia"/>
        </w:rPr>
        <w:t xml:space="preserve"> = </w:t>
      </w:r>
      <w:r w:rsidR="00F8385A">
        <w:rPr>
          <w:rFonts w:eastAsiaTheme="minorEastAsia"/>
        </w:rPr>
        <w:t>.052</w:t>
      </w:r>
      <w:r w:rsidR="002C6070">
        <w:rPr>
          <w:rFonts w:eastAsiaTheme="minorEastAsia"/>
        </w:rPr>
        <w:t>.</w:t>
      </w:r>
      <w:r w:rsidR="00F8385A">
        <w:rPr>
          <w:rFonts w:eastAsiaTheme="minorEastAsia"/>
        </w:rPr>
        <w:t xml:space="preserve"> </w:t>
      </w:r>
      <w:r w:rsidR="008D1BAE">
        <w:rPr>
          <w:rFonts w:eastAsiaTheme="minorEastAsia"/>
        </w:rPr>
        <w:t>Partial correlation analysis between student teaching presence and social presence while controlling for cognitive presence</w:t>
      </w:r>
      <w:r w:rsidR="003B708D">
        <w:rPr>
          <w:rFonts w:eastAsiaTheme="minorEastAsia"/>
        </w:rPr>
        <w:t xml:space="preserve"> yielded </w:t>
      </w:r>
      <w:r w:rsidR="006A2E54">
        <w:rPr>
          <w:rFonts w:eastAsiaTheme="minorEastAsia"/>
        </w:rPr>
        <w:t>a positive non-significant correlation coefficient between teachin</w:t>
      </w:r>
      <w:r w:rsidR="00731178">
        <w:rPr>
          <w:rFonts w:eastAsiaTheme="minorEastAsia"/>
        </w:rPr>
        <w:t xml:space="preserve">g presence and social presence, </w:t>
      </w:r>
      <w:r w:rsidR="00C834EA" w:rsidRPr="00C834EA">
        <w:rPr>
          <w:rFonts w:eastAsiaTheme="minorEastAsia"/>
          <w:i/>
        </w:rPr>
        <w:t>pr</w:t>
      </w:r>
      <w:r w:rsidR="00C834EA">
        <w:rPr>
          <w:rFonts w:eastAsiaTheme="minorEastAsia"/>
          <w:i/>
        </w:rPr>
        <w:t xml:space="preserve"> </w:t>
      </w:r>
      <w:r w:rsidR="00C834EA">
        <w:rPr>
          <w:rFonts w:eastAsiaTheme="minorEastAsia"/>
        </w:rPr>
        <w:t xml:space="preserve">= </w:t>
      </w:r>
      <w:r w:rsidR="00EE7670">
        <w:rPr>
          <w:rFonts w:eastAsiaTheme="minorEastAsia"/>
        </w:rPr>
        <w:t>.04</w:t>
      </w:r>
      <w:r w:rsidR="00FB1A6B">
        <w:rPr>
          <w:rFonts w:eastAsiaTheme="minorEastAsia"/>
        </w:rPr>
        <w:t xml:space="preserve">, </w:t>
      </w:r>
      <w:r w:rsidR="00FB1A6B">
        <w:rPr>
          <w:i/>
        </w:rPr>
        <w:t xml:space="preserve">n </w:t>
      </w:r>
      <w:r w:rsidR="00FB1A6B">
        <w:t xml:space="preserve">= 213, </w:t>
      </w:r>
      <w:r w:rsidR="00FB1A6B">
        <w:rPr>
          <w:i/>
        </w:rPr>
        <w:t xml:space="preserve">p </w:t>
      </w:r>
      <w:r w:rsidR="00FB1A6B">
        <w:t>(one-tailed)</w:t>
      </w:r>
      <w:r w:rsidR="00FB1A6B">
        <w:rPr>
          <w:i/>
        </w:rPr>
        <w:t xml:space="preserve"> = </w:t>
      </w:r>
      <w:r w:rsidR="00FB1A6B">
        <w:t>.303</w:t>
      </w:r>
      <w:r w:rsidR="002C6070">
        <w:t xml:space="preserve">. </w:t>
      </w:r>
      <w:r w:rsidR="008B53E5">
        <w:t>These show that when the possible effect of cognitive presence disappears, the significant relationship between teaching presence and social presence also disappears suggesting that cognitive presence mediates the relationship between the two.</w:t>
      </w:r>
      <w:r w:rsidR="00A26C01">
        <w:tab/>
      </w:r>
      <w:r w:rsidR="00C37D74">
        <w:t xml:space="preserve"> </w:t>
      </w:r>
    </w:p>
    <w:p w:rsidR="005255D7" w:rsidRDefault="005255D7" w:rsidP="00540A6F">
      <w:pPr>
        <w:tabs>
          <w:tab w:val="left" w:pos="709"/>
          <w:tab w:val="left" w:pos="851"/>
        </w:tabs>
        <w:spacing w:after="0" w:line="480" w:lineRule="auto"/>
      </w:pPr>
    </w:p>
    <w:p w:rsidR="005255D7" w:rsidRPr="00A26C01" w:rsidRDefault="005255D7" w:rsidP="00540A6F">
      <w:pPr>
        <w:tabs>
          <w:tab w:val="left" w:pos="709"/>
          <w:tab w:val="left" w:pos="851"/>
        </w:tabs>
        <w:spacing w:after="0" w:line="480" w:lineRule="auto"/>
      </w:pPr>
    </w:p>
    <w:p w:rsidR="004A05D7" w:rsidRDefault="004A05D7" w:rsidP="00540A6F">
      <w:pPr>
        <w:tabs>
          <w:tab w:val="left" w:pos="709"/>
          <w:tab w:val="left" w:pos="851"/>
        </w:tabs>
        <w:spacing w:after="0" w:line="480" w:lineRule="auto"/>
        <w:rPr>
          <w:b/>
          <w:i/>
        </w:rPr>
      </w:pPr>
      <w:r>
        <w:rPr>
          <w:b/>
          <w:i/>
        </w:rPr>
        <w:lastRenderedPageBreak/>
        <w:tab/>
      </w:r>
      <w:proofErr w:type="gramStart"/>
      <w:r>
        <w:rPr>
          <w:b/>
          <w:i/>
        </w:rPr>
        <w:t>Student Teaching Presence and Cognitive Presence Relationship.</w:t>
      </w:r>
      <w:proofErr w:type="gramEnd"/>
    </w:p>
    <w:p w:rsidR="002E24B1" w:rsidRPr="002E24B1" w:rsidRDefault="002E24B1" w:rsidP="00540A6F">
      <w:pPr>
        <w:tabs>
          <w:tab w:val="left" w:pos="709"/>
          <w:tab w:val="left" w:pos="851"/>
        </w:tabs>
        <w:spacing w:after="0" w:line="480" w:lineRule="auto"/>
      </w:pPr>
      <w:r>
        <w:rPr>
          <w:b/>
          <w:i/>
        </w:rPr>
        <w:tab/>
      </w:r>
      <w:r w:rsidR="007874AB">
        <w:t>The range of the number of cognitive presence cases detected through content analysis was from 29 to 69 (</w:t>
      </w:r>
      <w:r w:rsidR="007874AB">
        <w:rPr>
          <w:i/>
        </w:rPr>
        <w:t xml:space="preserve">M = </w:t>
      </w:r>
      <w:r w:rsidR="007874AB">
        <w:t xml:space="preserve">50.30, </w:t>
      </w:r>
      <w:r w:rsidR="007874AB">
        <w:rPr>
          <w:i/>
        </w:rPr>
        <w:t xml:space="preserve">SD = </w:t>
      </w:r>
      <w:r w:rsidR="007874AB">
        <w:t>6.70)</w:t>
      </w:r>
      <w:r w:rsidR="00BC5EBA">
        <w:t xml:space="preserve">. This indicates that cognitive presence instances were very close to teaching presence instances both of which </w:t>
      </w:r>
      <w:r w:rsidR="00C0416D">
        <w:t xml:space="preserve">were </w:t>
      </w:r>
      <w:r w:rsidR="00BC5EBA">
        <w:t xml:space="preserve">higher than social presence </w:t>
      </w:r>
      <w:r w:rsidR="00C847DA">
        <w:t>on average.</w:t>
      </w:r>
      <w:r w:rsidR="00D35DE4">
        <w:t xml:space="preserve"> </w:t>
      </w:r>
      <w:r w:rsidR="00E12681">
        <w:t xml:space="preserve">There was a </w:t>
      </w:r>
      <w:r w:rsidR="00EE7670">
        <w:t xml:space="preserve">positive, </w:t>
      </w:r>
      <w:r w:rsidR="00E12681">
        <w:t>significant</w:t>
      </w:r>
      <w:r w:rsidR="00EE7670">
        <w:t xml:space="preserve">, medium-size relationship between teaching presence and cognitive presence, </w:t>
      </w:r>
      <w:proofErr w:type="spellStart"/>
      <w:r w:rsidR="00EE7670" w:rsidRPr="00C834EA">
        <w:rPr>
          <w:i/>
        </w:rPr>
        <w:t>r</w:t>
      </w:r>
      <w:r w:rsidR="00EE7670" w:rsidRPr="00C834EA">
        <w:rPr>
          <w:i/>
          <w:vertAlign w:val="subscript"/>
        </w:rPr>
        <w:t>s</w:t>
      </w:r>
      <w:proofErr w:type="spellEnd"/>
      <w:r w:rsidR="00EE7670">
        <w:t xml:space="preserve"> = .47, </w:t>
      </w:r>
      <w:r w:rsidR="00EE7670">
        <w:rPr>
          <w:i/>
        </w:rPr>
        <w:t xml:space="preserve">n </w:t>
      </w:r>
      <w:r w:rsidR="00EE7670">
        <w:t xml:space="preserve">= 213, </w:t>
      </w:r>
      <w:r w:rsidR="00EE7670">
        <w:rPr>
          <w:i/>
        </w:rPr>
        <w:t xml:space="preserve">p </w:t>
      </w:r>
      <w:r w:rsidR="00EE7670">
        <w:t>(one-tailed)</w:t>
      </w:r>
      <w:r w:rsidR="00EE7670">
        <w:rPr>
          <w:i/>
        </w:rPr>
        <w:t xml:space="preserve"> = </w:t>
      </w:r>
      <w:r w:rsidR="00EE7670">
        <w:t xml:space="preserve">.000, </w:t>
      </w:r>
      <m:oMath>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rPr>
              <m:t>2</m:t>
            </m:r>
          </m:sup>
        </m:sSubSup>
      </m:oMath>
      <w:r w:rsidR="00EE7670">
        <w:rPr>
          <w:rFonts w:eastAsiaTheme="minorEastAsia"/>
        </w:rPr>
        <w:t xml:space="preserve"> = .22.</w:t>
      </w:r>
      <w:r w:rsidR="008C65BF">
        <w:rPr>
          <w:rFonts w:eastAsiaTheme="minorEastAsia"/>
        </w:rPr>
        <w:t xml:space="preserve"> When possible effect of social presence was under control, </w:t>
      </w:r>
      <w:r w:rsidR="00731178">
        <w:rPr>
          <w:rFonts w:eastAsiaTheme="minorEastAsia"/>
        </w:rPr>
        <w:t xml:space="preserve">there was still a positive, significant, and medium-size relationship between teaching presence and cognitive presence, </w:t>
      </w:r>
      <w:r w:rsidR="00731178" w:rsidRPr="00C834EA">
        <w:rPr>
          <w:rFonts w:eastAsiaTheme="minorEastAsia"/>
          <w:i/>
        </w:rPr>
        <w:t>pr</w:t>
      </w:r>
      <w:r w:rsidR="00731178">
        <w:rPr>
          <w:rFonts w:eastAsiaTheme="minorEastAsia"/>
          <w:i/>
        </w:rPr>
        <w:t xml:space="preserve"> </w:t>
      </w:r>
      <w:r w:rsidR="00731178">
        <w:rPr>
          <w:rFonts w:eastAsiaTheme="minorEastAsia"/>
        </w:rPr>
        <w:t xml:space="preserve">= .40, </w:t>
      </w:r>
      <w:r w:rsidR="00731178">
        <w:rPr>
          <w:i/>
        </w:rPr>
        <w:t xml:space="preserve">n </w:t>
      </w:r>
      <w:r w:rsidR="00731178">
        <w:t xml:space="preserve">= 213, </w:t>
      </w:r>
      <w:r w:rsidR="00731178">
        <w:rPr>
          <w:i/>
        </w:rPr>
        <w:t xml:space="preserve">p </w:t>
      </w:r>
      <w:r w:rsidR="00731178">
        <w:t>(one-tailed)</w:t>
      </w:r>
      <w:r w:rsidR="00731178">
        <w:rPr>
          <w:i/>
        </w:rPr>
        <w:t xml:space="preserve"> = </w:t>
      </w:r>
      <w:r w:rsidR="00731178">
        <w:t xml:space="preserve">.000, </w:t>
      </w:r>
      <w:r w:rsidR="00731178">
        <w:rPr>
          <w:i/>
        </w:rPr>
        <w:t>R</w:t>
      </w:r>
      <w:r w:rsidR="00731178">
        <w:rPr>
          <w:i/>
          <w:vertAlign w:val="superscript"/>
        </w:rPr>
        <w:t>2</w:t>
      </w:r>
      <w:r w:rsidR="00731178">
        <w:t xml:space="preserve"> = </w:t>
      </w:r>
      <w:r w:rsidR="001825DA">
        <w:t xml:space="preserve">.16. </w:t>
      </w:r>
      <w:r w:rsidR="00D740DC">
        <w:t xml:space="preserve">These indicate that </w:t>
      </w:r>
      <w:r w:rsidR="000776BF">
        <w:t>the relationship between teaching presence and cognitive presence is not as dependent on social presence as the relationship between teaching presence and social presence depends on cognitive presence.</w:t>
      </w:r>
      <w:r w:rsidR="00731178">
        <w:rPr>
          <w:i/>
        </w:rPr>
        <w:t xml:space="preserve"> </w:t>
      </w:r>
      <w:r w:rsidR="00EE7670">
        <w:rPr>
          <w:rFonts w:eastAsiaTheme="minorEastAsia"/>
        </w:rPr>
        <w:t xml:space="preserve"> </w:t>
      </w:r>
      <w:r w:rsidR="00EE7670">
        <w:t xml:space="preserve"> </w:t>
      </w:r>
      <w:r w:rsidR="00E12681">
        <w:t xml:space="preserve"> </w:t>
      </w:r>
      <w:r w:rsidR="00C847DA">
        <w:t xml:space="preserve"> </w:t>
      </w:r>
    </w:p>
    <w:p w:rsidR="004A05D7" w:rsidRDefault="004A05D7" w:rsidP="00540A6F">
      <w:pPr>
        <w:tabs>
          <w:tab w:val="left" w:pos="709"/>
          <w:tab w:val="left" w:pos="851"/>
        </w:tabs>
        <w:spacing w:after="0" w:line="480" w:lineRule="auto"/>
        <w:rPr>
          <w:b/>
          <w:i/>
        </w:rPr>
      </w:pPr>
      <w:r>
        <w:rPr>
          <w:b/>
          <w:i/>
        </w:rPr>
        <w:tab/>
      </w:r>
      <w:proofErr w:type="gramStart"/>
      <w:r w:rsidR="0082146D">
        <w:rPr>
          <w:b/>
          <w:i/>
        </w:rPr>
        <w:t>Social Presence and Cognitive Presence Relationship.</w:t>
      </w:r>
      <w:proofErr w:type="gramEnd"/>
    </w:p>
    <w:p w:rsidR="00B15137" w:rsidRPr="00534ECA" w:rsidRDefault="00B15137" w:rsidP="00540A6F">
      <w:pPr>
        <w:tabs>
          <w:tab w:val="left" w:pos="709"/>
          <w:tab w:val="left" w:pos="851"/>
        </w:tabs>
        <w:spacing w:after="0" w:line="480" w:lineRule="auto"/>
      </w:pPr>
      <w:r>
        <w:rPr>
          <w:b/>
          <w:i/>
        </w:rPr>
        <w:tab/>
      </w:r>
      <w:r w:rsidR="001A5FE8">
        <w:t xml:space="preserve">Analyses revealed a positive, significant, and small-size correlation coefficient </w:t>
      </w:r>
      <w:r w:rsidR="006D2C7B">
        <w:t xml:space="preserve">between social presence and cognitive presence, </w:t>
      </w:r>
      <w:proofErr w:type="spellStart"/>
      <w:r w:rsidR="006D2C7B" w:rsidRPr="00C834EA">
        <w:rPr>
          <w:i/>
        </w:rPr>
        <w:t>r</w:t>
      </w:r>
      <w:r w:rsidR="006D2C7B" w:rsidRPr="00C834EA">
        <w:rPr>
          <w:i/>
          <w:vertAlign w:val="subscript"/>
        </w:rPr>
        <w:t>s</w:t>
      </w:r>
      <w:proofErr w:type="spellEnd"/>
      <w:r w:rsidR="00D548F7">
        <w:t xml:space="preserve"> = .28</w:t>
      </w:r>
      <w:r w:rsidR="006D2C7B">
        <w:t xml:space="preserve">, </w:t>
      </w:r>
      <w:r w:rsidR="006D2C7B">
        <w:rPr>
          <w:i/>
        </w:rPr>
        <w:t xml:space="preserve">n </w:t>
      </w:r>
      <w:r w:rsidR="006D2C7B">
        <w:t xml:space="preserve">= 213, </w:t>
      </w:r>
      <w:r w:rsidR="006D2C7B">
        <w:rPr>
          <w:i/>
        </w:rPr>
        <w:t xml:space="preserve">p </w:t>
      </w:r>
      <w:r w:rsidR="006D2C7B">
        <w:t>(one-tailed)</w:t>
      </w:r>
      <w:r w:rsidR="006D2C7B">
        <w:rPr>
          <w:i/>
        </w:rPr>
        <w:t xml:space="preserve"> = </w:t>
      </w:r>
      <w:r w:rsidR="006D2C7B">
        <w:t xml:space="preserve">.000, </w:t>
      </w:r>
      <m:oMath>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rPr>
              <m:t>2</m:t>
            </m:r>
          </m:sup>
        </m:sSubSup>
      </m:oMath>
      <w:r w:rsidR="006D2C7B">
        <w:rPr>
          <w:rFonts w:eastAsiaTheme="minorEastAsia"/>
        </w:rPr>
        <w:t xml:space="preserve"> = </w:t>
      </w:r>
      <w:r w:rsidR="00D548F7">
        <w:rPr>
          <w:rFonts w:eastAsiaTheme="minorEastAsia"/>
        </w:rPr>
        <w:t>.08</w:t>
      </w:r>
      <w:r w:rsidR="006D2C7B">
        <w:rPr>
          <w:rFonts w:eastAsiaTheme="minorEastAsia"/>
        </w:rPr>
        <w:t>.</w:t>
      </w:r>
      <w:r w:rsidR="00D548F7">
        <w:rPr>
          <w:rFonts w:eastAsiaTheme="minorEastAsia"/>
        </w:rPr>
        <w:t xml:space="preserve"> </w:t>
      </w:r>
      <w:r w:rsidR="00F30725">
        <w:rPr>
          <w:rFonts w:eastAsiaTheme="minorEastAsia"/>
        </w:rPr>
        <w:t xml:space="preserve">Further, </w:t>
      </w:r>
      <w:r w:rsidR="00535A51">
        <w:rPr>
          <w:rFonts w:eastAsiaTheme="minorEastAsia"/>
        </w:rPr>
        <w:t xml:space="preserve">a partial correlation analysis controlling for the effect of teaching presence resulted in </w:t>
      </w:r>
      <w:r w:rsidR="00EC2981">
        <w:rPr>
          <w:rFonts w:eastAsiaTheme="minorEastAsia"/>
        </w:rPr>
        <w:t xml:space="preserve">positive, significant, small-size relationship between </w:t>
      </w:r>
      <w:r w:rsidR="00930AF1">
        <w:rPr>
          <w:rFonts w:eastAsiaTheme="minorEastAsia"/>
        </w:rPr>
        <w:t xml:space="preserve">social presence and cognitive presence, </w:t>
      </w:r>
      <w:r w:rsidR="00930AF1" w:rsidRPr="00C834EA">
        <w:rPr>
          <w:rFonts w:eastAsiaTheme="minorEastAsia"/>
          <w:i/>
        </w:rPr>
        <w:t>pr</w:t>
      </w:r>
      <w:r w:rsidR="00930AF1">
        <w:rPr>
          <w:rFonts w:eastAsiaTheme="minorEastAsia"/>
          <w:i/>
        </w:rPr>
        <w:t xml:space="preserve"> </w:t>
      </w:r>
      <w:r w:rsidR="00930AF1">
        <w:rPr>
          <w:rFonts w:eastAsiaTheme="minorEastAsia"/>
        </w:rPr>
        <w:t>= .</w:t>
      </w:r>
      <w:r w:rsidR="0062628F">
        <w:rPr>
          <w:rFonts w:eastAsiaTheme="minorEastAsia"/>
        </w:rPr>
        <w:t>21</w:t>
      </w:r>
      <w:r w:rsidR="00930AF1">
        <w:rPr>
          <w:rFonts w:eastAsiaTheme="minorEastAsia"/>
        </w:rPr>
        <w:t xml:space="preserve">, </w:t>
      </w:r>
      <w:r w:rsidR="00930AF1">
        <w:rPr>
          <w:i/>
        </w:rPr>
        <w:t xml:space="preserve">n </w:t>
      </w:r>
      <w:r w:rsidR="00930AF1">
        <w:t xml:space="preserve">= 213, </w:t>
      </w:r>
      <w:r w:rsidR="00930AF1">
        <w:rPr>
          <w:i/>
        </w:rPr>
        <w:t xml:space="preserve">p </w:t>
      </w:r>
      <w:r w:rsidR="00930AF1">
        <w:t>(one-tailed)</w:t>
      </w:r>
      <w:r w:rsidR="00930AF1">
        <w:rPr>
          <w:i/>
        </w:rPr>
        <w:t xml:space="preserve"> = </w:t>
      </w:r>
      <w:r w:rsidR="00930AF1">
        <w:t>.00</w:t>
      </w:r>
      <w:r w:rsidR="0062628F">
        <w:t>1</w:t>
      </w:r>
      <w:r w:rsidR="00930AF1">
        <w:t xml:space="preserve">, </w:t>
      </w:r>
      <w:r w:rsidR="00930AF1">
        <w:rPr>
          <w:i/>
        </w:rPr>
        <w:t>R</w:t>
      </w:r>
      <w:r w:rsidR="00930AF1">
        <w:rPr>
          <w:i/>
          <w:vertAlign w:val="superscript"/>
        </w:rPr>
        <w:t>2</w:t>
      </w:r>
      <w:r w:rsidR="00930AF1">
        <w:t xml:space="preserve"> = .</w:t>
      </w:r>
      <w:r w:rsidR="0062628F">
        <w:t>05.</w:t>
      </w:r>
      <w:r w:rsidR="00AF43C4">
        <w:t xml:space="preserve"> The latter suggests that the relationship between social presence and cognitive presence is independent of teaching presence to a certain extent.</w:t>
      </w:r>
    </w:p>
    <w:p w:rsidR="0082146D" w:rsidRPr="00D1407D" w:rsidRDefault="00D1407D" w:rsidP="00540A6F">
      <w:pPr>
        <w:tabs>
          <w:tab w:val="left" w:pos="709"/>
          <w:tab w:val="left" w:pos="851"/>
        </w:tabs>
        <w:spacing w:after="0" w:line="480" w:lineRule="auto"/>
        <w:rPr>
          <w:b/>
        </w:rPr>
      </w:pPr>
      <w:r w:rsidRPr="00D1407D">
        <w:rPr>
          <w:b/>
        </w:rPr>
        <w:t>Discussion</w:t>
      </w:r>
    </w:p>
    <w:p w:rsidR="00417D39" w:rsidRDefault="00232B72" w:rsidP="00540A6F">
      <w:pPr>
        <w:tabs>
          <w:tab w:val="left" w:pos="709"/>
          <w:tab w:val="left" w:pos="851"/>
        </w:tabs>
        <w:spacing w:after="0" w:line="480" w:lineRule="auto"/>
      </w:pPr>
      <w:r>
        <w:tab/>
        <w:t>This study investigated (a) possible effects of instructor participation in online discussions or teaching styles on learner motivation and engagement</w:t>
      </w:r>
      <w:r w:rsidR="00722902">
        <w:t xml:space="preserve"> independent of learners` level of self-efficacy; (b) </w:t>
      </w:r>
      <w:r w:rsidR="00F539E4">
        <w:t xml:space="preserve">the interrelationships between and among student teaching presence, social presence and cognitive presence. </w:t>
      </w:r>
      <w:r w:rsidR="00612207">
        <w:t xml:space="preserve">Regarding the first aim, </w:t>
      </w:r>
      <w:r w:rsidR="00B84DD4">
        <w:t xml:space="preserve">since it was not possible to collect </w:t>
      </w:r>
      <w:r w:rsidR="00FC3D58">
        <w:t xml:space="preserve">enough data, the current study revealed no concrete findings or results, </w:t>
      </w:r>
      <w:r w:rsidR="00FC3D58">
        <w:lastRenderedPageBreak/>
        <w:t xml:space="preserve">which limits </w:t>
      </w:r>
      <w:r w:rsidR="00AB22A3">
        <w:t xml:space="preserve">any </w:t>
      </w:r>
      <w:r w:rsidR="00FC3D58">
        <w:t xml:space="preserve">discussion of these too. </w:t>
      </w:r>
      <w:r w:rsidR="00E76896">
        <w:t>Still though, the descriptive statistics given in Table 5 is worth reflecting on a little bit since these might shed light on the interpretation of the interrelationships found among the presences.</w:t>
      </w:r>
    </w:p>
    <w:p w:rsidR="00E76896" w:rsidRDefault="00AB22A3" w:rsidP="00540A6F">
      <w:pPr>
        <w:tabs>
          <w:tab w:val="left" w:pos="709"/>
          <w:tab w:val="left" w:pos="851"/>
        </w:tabs>
        <w:spacing w:after="0" w:line="480" w:lineRule="auto"/>
      </w:pPr>
      <w:r>
        <w:tab/>
        <w:t xml:space="preserve">To begin with, </w:t>
      </w:r>
      <w:r w:rsidR="004F2857">
        <w:t xml:space="preserve">it is clear from the descriptive statistics that there could be different types of instructor participation, feedback or response in asynchronous online discussions of the </w:t>
      </w:r>
      <w:r w:rsidR="0035341B">
        <w:t xml:space="preserve">across different courses. </w:t>
      </w:r>
      <w:r w:rsidR="006000DE">
        <w:t xml:space="preserve">Such differences might relate to different </w:t>
      </w:r>
      <w:r w:rsidR="00A32126">
        <w:t xml:space="preserve">factors including but not limited to </w:t>
      </w:r>
      <w:r w:rsidR="005B671A">
        <w:t xml:space="preserve">(a) </w:t>
      </w:r>
      <w:r w:rsidR="00A32126">
        <w:t>content (</w:t>
      </w:r>
      <w:r w:rsidR="005B671A">
        <w:t xml:space="preserve">e.g., </w:t>
      </w:r>
      <w:proofErr w:type="spellStart"/>
      <w:r w:rsidR="0004720D" w:rsidRPr="00587BCF">
        <w:t>Ivankova</w:t>
      </w:r>
      <w:proofErr w:type="spellEnd"/>
      <w:r w:rsidR="0004720D" w:rsidRPr="00587BCF">
        <w:t xml:space="preserve"> &amp; Stick, 2007</w:t>
      </w:r>
      <w:r w:rsidR="0004720D">
        <w:t xml:space="preserve">; </w:t>
      </w:r>
      <w:proofErr w:type="spellStart"/>
      <w:r w:rsidR="0004720D" w:rsidRPr="001A01EC">
        <w:t>Müller</w:t>
      </w:r>
      <w:proofErr w:type="spellEnd"/>
      <w:r w:rsidR="0004720D" w:rsidRPr="001A01EC">
        <w:t>, 2008</w:t>
      </w:r>
      <w:r w:rsidR="005B671A">
        <w:t xml:space="preserve">); (b) </w:t>
      </w:r>
      <w:r w:rsidR="00831570">
        <w:t xml:space="preserve">instructor feedback and interaction with the instructor (e.g., </w:t>
      </w:r>
      <w:proofErr w:type="spellStart"/>
      <w:r w:rsidR="00831570" w:rsidRPr="00587BCF">
        <w:t>Ivankova</w:t>
      </w:r>
      <w:proofErr w:type="spellEnd"/>
      <w:r w:rsidR="00831570" w:rsidRPr="00587BCF">
        <w:t xml:space="preserve"> &amp; Stick, 2007</w:t>
      </w:r>
      <w:r w:rsidR="00831570">
        <w:t xml:space="preserve">; </w:t>
      </w:r>
      <w:proofErr w:type="spellStart"/>
      <w:r w:rsidR="00831570">
        <w:t>Ojokheta</w:t>
      </w:r>
      <w:proofErr w:type="spellEnd"/>
      <w:r w:rsidR="00831570">
        <w:t xml:space="preserve">, 2010); (c) </w:t>
      </w:r>
      <w:r w:rsidR="004F78E3">
        <w:t xml:space="preserve">learner satisfaction (e.g., </w:t>
      </w:r>
      <w:proofErr w:type="spellStart"/>
      <w:r w:rsidR="004F78E3">
        <w:t>Akyol</w:t>
      </w:r>
      <w:proofErr w:type="spellEnd"/>
      <w:r w:rsidR="004F78E3">
        <w:t xml:space="preserve"> &amp; Garrison, 2008; </w:t>
      </w:r>
      <w:proofErr w:type="spellStart"/>
      <w:r w:rsidR="004F78E3">
        <w:t>Fredericksen</w:t>
      </w:r>
      <w:proofErr w:type="spellEnd"/>
      <w:r w:rsidR="004F78E3">
        <w:t xml:space="preserve"> et al., 2000)</w:t>
      </w:r>
      <w:r w:rsidR="00586032">
        <w:t xml:space="preserve">; (d) </w:t>
      </w:r>
      <w:r w:rsidR="00652090">
        <w:t>teaching styles as well as teacher characteristics (e.g., Fischer &amp; Fischer, 1979; Gayle, 1994)</w:t>
      </w:r>
      <w:r w:rsidR="00F342BC">
        <w:t xml:space="preserve"> or teaching identity (e.g., </w:t>
      </w:r>
      <w:proofErr w:type="spellStart"/>
      <w:r w:rsidR="00F342BC">
        <w:t>Volkman</w:t>
      </w:r>
      <w:proofErr w:type="spellEnd"/>
      <w:r w:rsidR="00F342BC">
        <w:t xml:space="preserve"> &amp; </w:t>
      </w:r>
      <w:proofErr w:type="spellStart"/>
      <w:r w:rsidR="00F342BC">
        <w:t>Zgagacz</w:t>
      </w:r>
      <w:proofErr w:type="spellEnd"/>
      <w:r w:rsidR="00F342BC">
        <w:t xml:space="preserve">, 2004). </w:t>
      </w:r>
      <w:r w:rsidR="00BE313C">
        <w:t xml:space="preserve">Moreover, learner-driven dynamics may add to such instructor-driven dynamics in a synergistic manner thereby </w:t>
      </w:r>
      <w:r w:rsidR="00B8298B">
        <w:t xml:space="preserve">promoting different </w:t>
      </w:r>
      <w:r w:rsidR="00593D47">
        <w:t xml:space="preserve">types of instructor participation </w:t>
      </w:r>
      <w:r w:rsidR="00F901B2">
        <w:t xml:space="preserve">styles in online discussions. </w:t>
      </w:r>
    </w:p>
    <w:p w:rsidR="00FD519B" w:rsidRDefault="00E76896" w:rsidP="00540A6F">
      <w:pPr>
        <w:tabs>
          <w:tab w:val="left" w:pos="709"/>
          <w:tab w:val="left" w:pos="851"/>
        </w:tabs>
        <w:spacing w:after="0" w:line="480" w:lineRule="auto"/>
      </w:pPr>
      <w:r>
        <w:tab/>
        <w:t>Mor</w:t>
      </w:r>
      <w:r w:rsidR="000B2359">
        <w:t>eov</w:t>
      </w:r>
      <w:r w:rsidR="00805DB6">
        <w:t xml:space="preserve">er, </w:t>
      </w:r>
      <w:r w:rsidR="004F3D56">
        <w:t>concerning the second aim of the study, or the interrelationships between and among the presences, the results revealed som</w:t>
      </w:r>
      <w:r w:rsidR="00B2144E">
        <w:t xml:space="preserve">e interesting insights. First, even though the present results referred to significant positive relationships between teaching presence and cognitive presence found by previous research (e.g., </w:t>
      </w:r>
      <w:proofErr w:type="spellStart"/>
      <w:r w:rsidR="00B2144E">
        <w:t>Akyol</w:t>
      </w:r>
      <w:proofErr w:type="spellEnd"/>
      <w:r w:rsidR="00B2144E">
        <w:t xml:space="preserve"> &amp; Garrison, 2008)</w:t>
      </w:r>
      <w:r w:rsidR="00BB05DA">
        <w:t xml:space="preserve">, </w:t>
      </w:r>
      <w:r w:rsidR="007D3D10">
        <w:t xml:space="preserve">it also resulted in positive significant relationships between teaching and social presences as well as between social presence and cognitive presence. </w:t>
      </w:r>
      <w:r w:rsidR="00F30A74">
        <w:t>The latter finding does partially align with some previous research (e.g., Garrison et al., 2010)</w:t>
      </w:r>
      <w:r w:rsidR="005852CA">
        <w:t xml:space="preserve"> </w:t>
      </w:r>
      <w:r w:rsidR="00F30A74">
        <w:t xml:space="preserve">while </w:t>
      </w:r>
      <w:r w:rsidR="004A0116">
        <w:t xml:space="preserve">it </w:t>
      </w:r>
      <w:r w:rsidR="00F30A74">
        <w:t xml:space="preserve">does not align with some other (e.g., </w:t>
      </w:r>
      <w:proofErr w:type="spellStart"/>
      <w:r w:rsidR="00F30A74">
        <w:t>Akyol</w:t>
      </w:r>
      <w:proofErr w:type="spellEnd"/>
      <w:r w:rsidR="00F30A74">
        <w:t xml:space="preserve"> &amp; Garrison, 20</w:t>
      </w:r>
      <w:r w:rsidR="007E09B9">
        <w:t>08</w:t>
      </w:r>
      <w:r w:rsidR="00F30A74">
        <w:t>)</w:t>
      </w:r>
      <w:r w:rsidR="00AF5737">
        <w:t xml:space="preserve"> to some extent</w:t>
      </w:r>
      <w:r w:rsidR="00F30A74">
        <w:t>.</w:t>
      </w:r>
      <w:r w:rsidR="007E09B9">
        <w:t xml:space="preserve"> </w:t>
      </w:r>
    </w:p>
    <w:p w:rsidR="00E76896" w:rsidRDefault="00FD519B" w:rsidP="00540A6F">
      <w:pPr>
        <w:tabs>
          <w:tab w:val="left" w:pos="709"/>
          <w:tab w:val="left" w:pos="851"/>
        </w:tabs>
        <w:spacing w:after="0" w:line="480" w:lineRule="auto"/>
      </w:pPr>
      <w:r>
        <w:tab/>
      </w:r>
      <w:proofErr w:type="spellStart"/>
      <w:r w:rsidR="001E735C">
        <w:t>Akyol</w:t>
      </w:r>
      <w:proofErr w:type="spellEnd"/>
      <w:r w:rsidR="001E735C">
        <w:t xml:space="preserve"> and Garrison (2008), for instance, </w:t>
      </w:r>
      <w:r>
        <w:t>found a positive significant and large correlation between teaching presence and cognitive presence (</w:t>
      </w:r>
      <w:proofErr w:type="spellStart"/>
      <w:r>
        <w:rPr>
          <w:i/>
        </w:rPr>
        <w:t>r</w:t>
      </w:r>
      <w:r>
        <w:rPr>
          <w:i/>
          <w:vertAlign w:val="subscript"/>
        </w:rPr>
        <w:t>s</w:t>
      </w:r>
      <w:proofErr w:type="spellEnd"/>
      <w:r>
        <w:t xml:space="preserve"> = .78) while the present study produced a positive, significant but medium</w:t>
      </w:r>
      <w:r w:rsidR="00143C17">
        <w:t xml:space="preserve">-size </w:t>
      </w:r>
      <w:r>
        <w:t>(</w:t>
      </w:r>
      <w:proofErr w:type="spellStart"/>
      <w:r>
        <w:rPr>
          <w:i/>
        </w:rPr>
        <w:t>r</w:t>
      </w:r>
      <w:r>
        <w:rPr>
          <w:i/>
          <w:vertAlign w:val="subscript"/>
        </w:rPr>
        <w:t>s</w:t>
      </w:r>
      <w:proofErr w:type="spellEnd"/>
      <w:r>
        <w:t xml:space="preserve"> = .47)</w:t>
      </w:r>
      <w:r w:rsidR="00143C17">
        <w:t xml:space="preserve"> correlation. </w:t>
      </w:r>
      <w:r w:rsidR="005F682E">
        <w:t xml:space="preserve">There might be several reasons for this: (a) </w:t>
      </w:r>
      <w:proofErr w:type="spellStart"/>
      <w:r w:rsidR="005F682E">
        <w:t>Akyol</w:t>
      </w:r>
      <w:proofErr w:type="spellEnd"/>
      <w:r w:rsidR="005F682E">
        <w:t xml:space="preserve"> and Garrison`s (2008) sample size </w:t>
      </w:r>
      <w:r w:rsidR="005060E6">
        <w:t>was</w:t>
      </w:r>
      <w:r w:rsidR="005F682E">
        <w:t xml:space="preserve">16 out of </w:t>
      </w:r>
      <w:r w:rsidR="002D31FF">
        <w:t xml:space="preserve">whose </w:t>
      </w:r>
      <w:r w:rsidR="002D31FF">
        <w:lastRenderedPageBreak/>
        <w:t>data</w:t>
      </w:r>
      <w:r w:rsidR="005F682E">
        <w:t xml:space="preserve"> </w:t>
      </w:r>
      <w:r w:rsidR="002D31FF">
        <w:t>only those of 15 were used in correlational analyses</w:t>
      </w:r>
      <w:r w:rsidR="005060E6">
        <w:t xml:space="preserve"> while it was 213 for this study; (b) </w:t>
      </w:r>
      <w:r w:rsidR="00424C03">
        <w:t xml:space="preserve">While the present study used content analysis in order to produce correlation data, </w:t>
      </w:r>
      <w:proofErr w:type="spellStart"/>
      <w:r w:rsidR="00424C03">
        <w:t>Akyol</w:t>
      </w:r>
      <w:proofErr w:type="spellEnd"/>
      <w:r w:rsidR="00424C03">
        <w:t xml:space="preserve"> and Garrison (2008) used </w:t>
      </w:r>
      <w:proofErr w:type="spellStart"/>
      <w:r w:rsidR="00424C03">
        <w:t>Likert</w:t>
      </w:r>
      <w:proofErr w:type="spellEnd"/>
      <w:r w:rsidR="00424C03">
        <w:t xml:space="preserve">-type survey data. </w:t>
      </w:r>
    </w:p>
    <w:p w:rsidR="00720B57" w:rsidRDefault="00DE7E15" w:rsidP="00540A6F">
      <w:pPr>
        <w:tabs>
          <w:tab w:val="left" w:pos="709"/>
          <w:tab w:val="left" w:pos="851"/>
        </w:tabs>
        <w:spacing w:after="0" w:line="480" w:lineRule="auto"/>
      </w:pPr>
      <w:r>
        <w:tab/>
      </w:r>
      <w:r w:rsidR="005E21B4">
        <w:t xml:space="preserve">Using the same </w:t>
      </w:r>
      <w:proofErr w:type="spellStart"/>
      <w:r w:rsidR="005E21B4">
        <w:t>Likert</w:t>
      </w:r>
      <w:proofErr w:type="spellEnd"/>
      <w:r w:rsidR="005E21B4">
        <w:t>-scaled instrument</w:t>
      </w:r>
      <w:r w:rsidR="005C1E59">
        <w:t xml:space="preserve"> and structural equation modeling, Garrison et al. (2010)</w:t>
      </w:r>
      <w:r w:rsidR="002C0CEA">
        <w:t xml:space="preserve"> yielded</w:t>
      </w:r>
      <w:r w:rsidR="002E5895">
        <w:t xml:space="preserve"> (a) a significant association between teaching presence and cognitive presence</w:t>
      </w:r>
      <w:r w:rsidR="00CF3D01">
        <w:t>, and between teaching presence and social presence</w:t>
      </w:r>
      <w:r w:rsidR="002E5895">
        <w:t>; (b)</w:t>
      </w:r>
      <w:r w:rsidR="00CF3D01">
        <w:t xml:space="preserve"> a mediating association between social presence and cognitive presence. These implied a direct causal effect of teaching presence on social presence, and an indirect causal effect of social presence on cognitive presence</w:t>
      </w:r>
      <w:r w:rsidR="00DE5E36">
        <w:t xml:space="preserve">. </w:t>
      </w:r>
      <w:r w:rsidR="00854751">
        <w:t xml:space="preserve">In other words, </w:t>
      </w:r>
      <w:r w:rsidR="00532D49">
        <w:t xml:space="preserve">teaching presence effect on cognitive presence is also being mediate by social presence. </w:t>
      </w:r>
      <w:r w:rsidR="00AB39A0">
        <w:t xml:space="preserve">However, the present partial correlation results referred to cognitive presence as a covariate that mediates the relationship between </w:t>
      </w:r>
      <w:r w:rsidR="00D35860">
        <w:t xml:space="preserve">teaching presence and social presence. This was found to be the case to such an extent that without cognitive presence there was not a relationship between </w:t>
      </w:r>
      <w:r w:rsidR="00625050">
        <w:t xml:space="preserve">teaching presence and social presence. </w:t>
      </w:r>
      <w:r w:rsidR="00633000">
        <w:t xml:space="preserve">These differences might have stemmed from different methodologies employed though. </w:t>
      </w:r>
    </w:p>
    <w:p w:rsidR="00DE7E15" w:rsidRDefault="00720B57" w:rsidP="00540A6F">
      <w:pPr>
        <w:tabs>
          <w:tab w:val="left" w:pos="709"/>
          <w:tab w:val="left" w:pos="851"/>
        </w:tabs>
        <w:spacing w:after="0" w:line="480" w:lineRule="auto"/>
      </w:pPr>
      <w:r>
        <w:tab/>
      </w:r>
      <w:r w:rsidR="00CF3D01">
        <w:t xml:space="preserve">  </w:t>
      </w:r>
      <w:r w:rsidR="002E5895">
        <w:t xml:space="preserve"> </w:t>
      </w:r>
      <w:r w:rsidR="002C0CEA">
        <w:t xml:space="preserve"> </w:t>
      </w:r>
      <w:r w:rsidR="00B51157">
        <w:t xml:space="preserve">The present results seem to concur greatly with </w:t>
      </w:r>
      <w:r>
        <w:t xml:space="preserve">Richardson, </w:t>
      </w:r>
      <w:proofErr w:type="spellStart"/>
      <w:r>
        <w:t>Kozan</w:t>
      </w:r>
      <w:proofErr w:type="spellEnd"/>
      <w:r>
        <w:t xml:space="preserve">, </w:t>
      </w:r>
      <w:proofErr w:type="spellStart"/>
      <w:r>
        <w:t>Mutlu</w:t>
      </w:r>
      <w:proofErr w:type="spellEnd"/>
      <w:r>
        <w:t xml:space="preserve"> &amp; </w:t>
      </w:r>
      <w:proofErr w:type="spellStart"/>
      <w:r>
        <w:t>Taeho</w:t>
      </w:r>
      <w:proofErr w:type="spellEnd"/>
      <w:r>
        <w:t xml:space="preserve"> Yu (2013)</w:t>
      </w:r>
      <w:r w:rsidR="007C7100">
        <w:t xml:space="preserve"> that used </w:t>
      </w:r>
      <w:r w:rsidR="006B7F57">
        <w:t>partial correlation analyses</w:t>
      </w:r>
      <w:r w:rsidR="00A8747E">
        <w:t xml:space="preserve"> based on the survey used by both </w:t>
      </w:r>
      <w:proofErr w:type="spellStart"/>
      <w:r w:rsidR="00A8747E">
        <w:t>Akyol</w:t>
      </w:r>
      <w:proofErr w:type="spellEnd"/>
      <w:r w:rsidR="00A8747E">
        <w:t xml:space="preserve"> and Garrison (2008) and Garrison et al. (2010). </w:t>
      </w:r>
      <w:r w:rsidR="00FB6D8E">
        <w:t xml:space="preserve">This study found large, significant and positive correlations among the presences. </w:t>
      </w:r>
      <w:r w:rsidR="007C7100">
        <w:t xml:space="preserve">The researchers reported (a) no correlation between </w:t>
      </w:r>
      <w:r w:rsidR="002B22D5">
        <w:t xml:space="preserve">teaching presence and social presence when the effect of cognitive presence was removed; (b) </w:t>
      </w:r>
      <w:r w:rsidR="00DE0BD7">
        <w:t xml:space="preserve">still large, positive, and significant correlations between teaching and cognitive presence, and between social and cognitive presence while controlling for the effect of the other third presence. </w:t>
      </w:r>
      <w:r w:rsidR="00293C1B">
        <w:t xml:space="preserve">These are closely in line with the current results of this study except that </w:t>
      </w:r>
      <w:r w:rsidR="00AF2C81">
        <w:t>the current results indicated either medium or small-size relationships.</w:t>
      </w:r>
      <w:r w:rsidR="00DC093B">
        <w:t xml:space="preserve"> Still though, </w:t>
      </w:r>
      <w:r w:rsidR="00456FE2">
        <w:t>the similarity of the present results stemming from content analysis with results from a survey is eye-catching in terms of methodology triangulation and generalizability.</w:t>
      </w:r>
    </w:p>
    <w:p w:rsidR="00287107" w:rsidRPr="00B657B1" w:rsidRDefault="00287107" w:rsidP="00540A6F">
      <w:pPr>
        <w:tabs>
          <w:tab w:val="left" w:pos="709"/>
          <w:tab w:val="left" w:pos="851"/>
        </w:tabs>
        <w:spacing w:after="0" w:line="480" w:lineRule="auto"/>
      </w:pPr>
      <w:r>
        <w:lastRenderedPageBreak/>
        <w:tab/>
        <w:t>It should be noted here that the other studies implemented teaching presence as an aspect of the instructor while the present study operationalized it as a</w:t>
      </w:r>
      <w:r w:rsidR="00820438">
        <w:t xml:space="preserve">n aspect of students. </w:t>
      </w:r>
      <w:r w:rsidR="005B465B">
        <w:t xml:space="preserve">Since student </w:t>
      </w:r>
      <w:r w:rsidR="00B657B1">
        <w:t>teaching presence does not seem to have radically different relationships with social and cognitive presences compared to instructor teaching presence,</w:t>
      </w:r>
      <w:r w:rsidR="009014D5">
        <w:t xml:space="preserve"> it is reasonable to argue that </w:t>
      </w:r>
      <w:r w:rsidR="000E4B04">
        <w:t xml:space="preserve">instructor participation or teaching styles can also be </w:t>
      </w:r>
      <w:r w:rsidR="002C69E9">
        <w:t>a responsibility of the students</w:t>
      </w:r>
      <w:r w:rsidR="00503388">
        <w:t xml:space="preserve"> in online learning environments</w:t>
      </w:r>
      <w:r w:rsidR="002C69E9">
        <w:t>.</w:t>
      </w:r>
      <w:r w:rsidR="007C2C35">
        <w:t xml:space="preserve"> At least, as long as the students whose discussions threads contributed to the present study are concerned, </w:t>
      </w:r>
      <w:r w:rsidR="0055283F">
        <w:t>they were good at employing teaching presence to a certain extent.</w:t>
      </w:r>
    </w:p>
    <w:p w:rsidR="00526000" w:rsidRDefault="00456FE2" w:rsidP="00923D09">
      <w:pPr>
        <w:tabs>
          <w:tab w:val="left" w:pos="709"/>
          <w:tab w:val="left" w:pos="851"/>
        </w:tabs>
        <w:spacing w:after="0" w:line="480" w:lineRule="auto"/>
      </w:pPr>
      <w:r>
        <w:tab/>
      </w:r>
      <w:r w:rsidR="00A37D27">
        <w:t xml:space="preserve">Overall, this study provided further evidence of </w:t>
      </w:r>
      <w:r w:rsidR="007F6E99">
        <w:t>close interrelationships between a</w:t>
      </w:r>
      <w:r w:rsidR="001C3CBB">
        <w:t>n</w:t>
      </w:r>
      <w:r w:rsidR="007F6E99">
        <w:t>d among the presences. These relationships are positive in the sense that</w:t>
      </w:r>
      <w:r w:rsidR="001C3CBB">
        <w:t xml:space="preserve"> </w:t>
      </w:r>
      <w:r w:rsidR="00A966F2">
        <w:t>higher levels of a presence are</w:t>
      </w:r>
      <w:r w:rsidR="006B3724">
        <w:t xml:space="preserve"> closely associable with higher levels of the other two presences.</w:t>
      </w:r>
      <w:r w:rsidR="00BF40FC">
        <w:t xml:space="preserve"> </w:t>
      </w:r>
      <w:r w:rsidR="00C62A74">
        <w:t>Combined with previous research, a</w:t>
      </w:r>
      <w:r w:rsidR="00BF40FC">
        <w:t xml:space="preserve">ll these suggest that </w:t>
      </w:r>
      <w:r w:rsidR="00C62A74">
        <w:t>(a) cognitive presence may be the mediator variable between teaching presence and social presence; (b)</w:t>
      </w:r>
      <w:r w:rsidR="00A966F2">
        <w:t xml:space="preserve"> </w:t>
      </w:r>
      <w:r w:rsidR="00C9199B">
        <w:t xml:space="preserve">students` contribution to teaching presence may work as well as that of their instructors </w:t>
      </w:r>
      <w:r w:rsidR="00F830F8">
        <w:t>depending on the level of cognitive presence especially in terms of encouraging social presence</w:t>
      </w:r>
      <w:r w:rsidR="008425B1">
        <w:t xml:space="preserve"> or </w:t>
      </w:r>
      <w:r w:rsidR="002D1EEE">
        <w:t>creating an effective social environment.</w:t>
      </w:r>
      <w:r w:rsidR="00C9199B">
        <w:t xml:space="preserve"> </w:t>
      </w:r>
      <w:r w:rsidR="00C62A74">
        <w:t xml:space="preserve"> </w:t>
      </w:r>
      <w:r w:rsidR="00BF40FC">
        <w:t xml:space="preserve"> </w:t>
      </w:r>
      <w:r w:rsidR="006B3724">
        <w:t xml:space="preserve"> </w:t>
      </w:r>
      <w:r w:rsidR="00287107">
        <w:t xml:space="preserve"> </w:t>
      </w:r>
      <w:r w:rsidR="007F6E99">
        <w:t xml:space="preserve"> </w:t>
      </w:r>
    </w:p>
    <w:p w:rsidR="00B8295D" w:rsidRDefault="00FB0EB6" w:rsidP="00FB0EB6">
      <w:pPr>
        <w:tabs>
          <w:tab w:val="left" w:pos="709"/>
          <w:tab w:val="left" w:pos="851"/>
        </w:tabs>
        <w:spacing w:after="0" w:line="480" w:lineRule="auto"/>
        <w:jc w:val="center"/>
        <w:rPr>
          <w:b/>
        </w:rPr>
      </w:pPr>
      <w:r>
        <w:rPr>
          <w:b/>
        </w:rPr>
        <w:t>Conclusions</w:t>
      </w:r>
      <w:r w:rsidR="00316380">
        <w:rPr>
          <w:b/>
        </w:rPr>
        <w:t xml:space="preserve"> </w:t>
      </w:r>
    </w:p>
    <w:p w:rsidR="003C7941" w:rsidRDefault="009208E2" w:rsidP="00B97742">
      <w:pPr>
        <w:tabs>
          <w:tab w:val="left" w:pos="709"/>
          <w:tab w:val="left" w:pos="851"/>
        </w:tabs>
        <w:spacing w:after="0" w:line="480" w:lineRule="auto"/>
      </w:pPr>
      <w:r>
        <w:tab/>
      </w:r>
      <w:r w:rsidR="00403953">
        <w:t>The close association found between the student teaching presence and social and cognitive presences</w:t>
      </w:r>
      <w:r w:rsidR="009334A5">
        <w:t xml:space="preserve"> in this study</w:t>
      </w:r>
      <w:r w:rsidR="00403953">
        <w:t xml:space="preserve">, the similarity of these to the relationship between instructor teaching presence and social and cognitive presence educationally imply that </w:t>
      </w:r>
      <w:r w:rsidR="009A1AC8">
        <w:t xml:space="preserve">students can take over the role of instructor successfully. </w:t>
      </w:r>
      <w:r w:rsidR="00F86082">
        <w:t xml:space="preserve">Further, student teaching presence can be </w:t>
      </w:r>
      <w:r w:rsidR="000B2F78">
        <w:t xml:space="preserve">a </w:t>
      </w:r>
      <w:r w:rsidR="00F86082">
        <w:t xml:space="preserve">complementary </w:t>
      </w:r>
      <w:r w:rsidR="009B21C3">
        <w:t xml:space="preserve">pedagogical </w:t>
      </w:r>
      <w:r w:rsidR="007C2B3B">
        <w:t>power to use</w:t>
      </w:r>
      <w:r w:rsidR="00F4695F">
        <w:t xml:space="preserve"> in addition to or in tandem with </w:t>
      </w:r>
      <w:r w:rsidR="00CA0493">
        <w:t>instructor teaching presence.</w:t>
      </w:r>
      <w:r w:rsidR="009334A5">
        <w:t xml:space="preserve"> </w:t>
      </w:r>
      <w:r w:rsidR="00F03562">
        <w:t xml:space="preserve">These warrant further research on how student and instructor teaching presence can combine into one single driver for meaningful learning. </w:t>
      </w:r>
      <w:r w:rsidR="00C36C44">
        <w:t xml:space="preserve">An equally important topic waiting </w:t>
      </w:r>
      <w:r w:rsidR="00C36C44">
        <w:lastRenderedPageBreak/>
        <w:t xml:space="preserve">for further research seems to be </w:t>
      </w:r>
      <w:r w:rsidR="00773678">
        <w:t>how to achieve this or what strategies to use in order to accomplish this.</w:t>
      </w:r>
    </w:p>
    <w:p w:rsidR="002F2794" w:rsidRDefault="003C7941" w:rsidP="00B97742">
      <w:pPr>
        <w:tabs>
          <w:tab w:val="left" w:pos="709"/>
          <w:tab w:val="left" w:pos="851"/>
        </w:tabs>
        <w:spacing w:after="0" w:line="480" w:lineRule="auto"/>
      </w:pPr>
      <w:r>
        <w:tab/>
      </w:r>
      <w:r w:rsidR="00B000FD">
        <w:t>It should be noted that t</w:t>
      </w:r>
      <w:r>
        <w:t xml:space="preserve">he presence study did not include </w:t>
      </w:r>
      <w:r w:rsidR="00767321">
        <w:t>a learning</w:t>
      </w:r>
      <w:r>
        <w:t xml:space="preserve"> or learner satisfaction measure.</w:t>
      </w:r>
      <w:r w:rsidR="00773678">
        <w:t xml:space="preserve"> In order to </w:t>
      </w:r>
      <w:r>
        <w:t xml:space="preserve">fully </w:t>
      </w:r>
      <w:r w:rsidR="00B000FD">
        <w:t>paint a picture of how to employ both student and instructor teaching presence to foster learning</w:t>
      </w:r>
      <w:r w:rsidR="00773678">
        <w:t xml:space="preserve">, future research needs to employ </w:t>
      </w:r>
      <w:r w:rsidR="00B000FD">
        <w:t xml:space="preserve">such measures. </w:t>
      </w:r>
      <w:r w:rsidR="00E1430B">
        <w:t xml:space="preserve">In addition to these, a single study incorporating both content analysis and </w:t>
      </w:r>
      <w:r w:rsidR="008A552D">
        <w:t xml:space="preserve">survey results would provide </w:t>
      </w:r>
      <w:r w:rsidR="00C36571">
        <w:t xml:space="preserve">methodological triangulation and eliminate the possibility that any results can </w:t>
      </w:r>
      <w:r w:rsidR="00764995">
        <w:t xml:space="preserve">originate from </w:t>
      </w:r>
      <w:r w:rsidR="008636DB">
        <w:t xml:space="preserve">methodological differences. </w:t>
      </w:r>
      <w:r w:rsidR="00C81220">
        <w:t>Since it used content analysis only,</w:t>
      </w:r>
      <w:r w:rsidR="00DA2B12">
        <w:t xml:space="preserve"> this point also limits the generalizability of the current findings.</w:t>
      </w:r>
    </w:p>
    <w:p w:rsidR="00C31C89" w:rsidRDefault="002F2794" w:rsidP="00B97742">
      <w:pPr>
        <w:tabs>
          <w:tab w:val="left" w:pos="709"/>
          <w:tab w:val="left" w:pos="851"/>
        </w:tabs>
        <w:spacing w:after="0" w:line="480" w:lineRule="auto"/>
      </w:pPr>
      <w:r>
        <w:tab/>
        <w:t>Moreov</w:t>
      </w:r>
      <w:r w:rsidR="00007FAF">
        <w:t xml:space="preserve">er, </w:t>
      </w:r>
      <w:r w:rsidR="003E70E3">
        <w:t xml:space="preserve">the data used in the current study were coded by the researcher only. </w:t>
      </w:r>
      <w:r w:rsidR="00C02B7E">
        <w:t xml:space="preserve">As a result, no reliability analyses could be run. </w:t>
      </w:r>
      <w:r w:rsidR="00C019B9">
        <w:t>This is a severe limitation</w:t>
      </w:r>
      <w:r w:rsidR="002210FD">
        <w:t xml:space="preserve"> </w:t>
      </w:r>
      <w:r w:rsidR="00121BD3">
        <w:t xml:space="preserve">and should be taken seriously by future research. </w:t>
      </w:r>
      <w:r w:rsidR="002622E1">
        <w:t xml:space="preserve">Future research might apply both inter and intra-rater reliability analysis in order to increase </w:t>
      </w:r>
      <w:r w:rsidR="002C4FD1">
        <w:t>scientific value of their findings.</w:t>
      </w:r>
    </w:p>
    <w:p w:rsidR="001637DC" w:rsidRDefault="00C31C89" w:rsidP="00B97742">
      <w:pPr>
        <w:tabs>
          <w:tab w:val="left" w:pos="709"/>
          <w:tab w:val="left" w:pos="851"/>
        </w:tabs>
        <w:spacing w:after="0" w:line="480" w:lineRule="auto"/>
      </w:pPr>
      <w:r>
        <w:tab/>
        <w:t xml:space="preserve">Finally, </w:t>
      </w:r>
      <w:r w:rsidR="00A02AEE">
        <w:t>being correlational in nature, the presence results have nothing to do with cause-and-effect relationships</w:t>
      </w:r>
      <w:r w:rsidR="00F974E1">
        <w:t xml:space="preserve"> or direct effects of presences on each other</w:t>
      </w:r>
      <w:r w:rsidR="00A02AEE">
        <w:t>.</w:t>
      </w:r>
      <w:r w:rsidR="00F974E1">
        <w:t xml:space="preserve"> </w:t>
      </w:r>
      <w:r w:rsidR="00B5205A">
        <w:t>In other words</w:t>
      </w:r>
      <w:r w:rsidR="00F974E1">
        <w:t>,</w:t>
      </w:r>
      <w:r w:rsidR="00B5205A">
        <w:t xml:space="preserve"> the present correlational relationships can be under the mediating or moderating effects of some other variables that warrant further research to be </w:t>
      </w:r>
      <w:r w:rsidR="00E619FB">
        <w:t xml:space="preserve">explored. </w:t>
      </w:r>
      <w:r w:rsidR="00226832">
        <w:t xml:space="preserve">Consequently, further research could apply </w:t>
      </w:r>
      <w:r w:rsidR="00BB5646">
        <w:t>statistical measure</w:t>
      </w:r>
      <w:r w:rsidR="00485AED">
        <w:t>s</w:t>
      </w:r>
      <w:r w:rsidR="00BB5646">
        <w:t xml:space="preserve"> that can provide causal insights</w:t>
      </w:r>
      <w:r w:rsidR="00485AED">
        <w:t xml:space="preserve"> into the relationships between and among presences, and into their relationships with </w:t>
      </w:r>
      <w:r w:rsidR="00F26E20">
        <w:t>learning outcomes.</w:t>
      </w:r>
      <w:r w:rsidR="00BB5646">
        <w:t xml:space="preserve"> </w:t>
      </w:r>
      <w:r w:rsidR="00F974E1">
        <w:t xml:space="preserve"> </w:t>
      </w:r>
    </w:p>
    <w:p w:rsidR="001637DC" w:rsidRDefault="00014046" w:rsidP="00014046">
      <w:pPr>
        <w:tabs>
          <w:tab w:val="left" w:pos="709"/>
          <w:tab w:val="left" w:pos="851"/>
        </w:tabs>
        <w:spacing w:after="0" w:line="480" w:lineRule="auto"/>
        <w:jc w:val="center"/>
        <w:rPr>
          <w:b/>
        </w:rPr>
      </w:pPr>
      <w:r>
        <w:rPr>
          <w:b/>
        </w:rPr>
        <w:t>Acknowledgments</w:t>
      </w:r>
    </w:p>
    <w:p w:rsidR="00F05A53" w:rsidRPr="00D83F4A" w:rsidRDefault="00014046" w:rsidP="00D83F4A">
      <w:pPr>
        <w:spacing w:after="0" w:line="480" w:lineRule="auto"/>
        <w:ind w:firstLine="737"/>
        <w:outlineLvl w:val="0"/>
        <w:rPr>
          <w:b/>
        </w:rPr>
      </w:pPr>
      <w:r>
        <w:t xml:space="preserve">The researcher was a part of a larger team consisting of three groups with two to three members in each. Each group had responsibilities </w:t>
      </w:r>
      <w:r w:rsidR="00D83F4A">
        <w:t>ranging from</w:t>
      </w:r>
      <w:r>
        <w:t xml:space="preserve"> </w:t>
      </w:r>
      <w:r w:rsidR="00EB3F31">
        <w:t xml:space="preserve">finding research </w:t>
      </w:r>
      <w:r>
        <w:t xml:space="preserve">instruments </w:t>
      </w:r>
      <w:r w:rsidR="00D83F4A">
        <w:t>to</w:t>
      </w:r>
      <w:r>
        <w:t xml:space="preserve"> adapting them</w:t>
      </w:r>
      <w:r w:rsidR="00D83F4A">
        <w:t>.</w:t>
      </w:r>
      <w:r>
        <w:t xml:space="preserve"> The </w:t>
      </w:r>
      <w:r w:rsidR="00D83F4A">
        <w:t>instructor response categorization instrument came from another research group. Since this was a part of a graduate-level course, the instructors provided the transcribed and anonymized data. All these deserve heartfelt thanks.</w:t>
      </w:r>
    </w:p>
    <w:p w:rsidR="005B45D2" w:rsidRPr="000414FF" w:rsidRDefault="005B45D2" w:rsidP="003C1D35">
      <w:pPr>
        <w:tabs>
          <w:tab w:val="left" w:pos="5820"/>
        </w:tabs>
        <w:spacing w:after="0" w:line="480" w:lineRule="auto"/>
        <w:jc w:val="center"/>
      </w:pPr>
      <w:r w:rsidRPr="000414FF">
        <w:lastRenderedPageBreak/>
        <w:t>References</w:t>
      </w:r>
      <w:bookmarkStart w:id="0" w:name="_GoBack"/>
      <w:bookmarkEnd w:id="0"/>
    </w:p>
    <w:p w:rsidR="005C3C7B" w:rsidRDefault="005C3C7B" w:rsidP="005C3C7B">
      <w:pPr>
        <w:autoSpaceDE w:val="0"/>
        <w:autoSpaceDN w:val="0"/>
        <w:adjustRightInd w:val="0"/>
        <w:spacing w:after="0" w:line="480" w:lineRule="auto"/>
      </w:pPr>
      <w:proofErr w:type="spellStart"/>
      <w:proofErr w:type="gramStart"/>
      <w:r>
        <w:t>Abedin</w:t>
      </w:r>
      <w:proofErr w:type="spellEnd"/>
      <w:r>
        <w:t xml:space="preserve">, B., </w:t>
      </w:r>
      <w:proofErr w:type="spellStart"/>
      <w:r>
        <w:t>Daneshgar</w:t>
      </w:r>
      <w:proofErr w:type="spellEnd"/>
      <w:r>
        <w:t xml:space="preserve">, F., &amp; </w:t>
      </w:r>
      <w:proofErr w:type="spellStart"/>
      <w:r>
        <w:t>D`Ambra</w:t>
      </w:r>
      <w:proofErr w:type="spellEnd"/>
      <w:r>
        <w:t>, J. (2010).</w:t>
      </w:r>
      <w:proofErr w:type="gramEnd"/>
      <w:r>
        <w:t xml:space="preserve"> Underlying factors of sense of community </w:t>
      </w:r>
      <w:r>
        <w:tab/>
        <w:t xml:space="preserve">in asynchronous computer supported collaborative learning environments. </w:t>
      </w:r>
      <w:r>
        <w:rPr>
          <w:i/>
        </w:rPr>
        <w:t xml:space="preserve">Journal of </w:t>
      </w:r>
      <w:r>
        <w:rPr>
          <w:i/>
        </w:rPr>
        <w:tab/>
        <w:t>Online Learning and Teaching, 6</w:t>
      </w:r>
      <w:r>
        <w:t xml:space="preserve">(3), 585-596. </w:t>
      </w:r>
    </w:p>
    <w:p w:rsidR="00D42B5B" w:rsidRDefault="00D42B5B" w:rsidP="00D42B5B">
      <w:pPr>
        <w:tabs>
          <w:tab w:val="left" w:pos="284"/>
        </w:tabs>
        <w:spacing w:after="0" w:line="480" w:lineRule="auto"/>
      </w:pPr>
      <w:proofErr w:type="spellStart"/>
      <w:proofErr w:type="gramStart"/>
      <w:r w:rsidRPr="00962F0A">
        <w:t>Akyol</w:t>
      </w:r>
      <w:proofErr w:type="spellEnd"/>
      <w:r w:rsidRPr="00962F0A">
        <w:t>, Z., &amp; Garrison, D. R. (2008).</w:t>
      </w:r>
      <w:proofErr w:type="gramEnd"/>
      <w:r w:rsidRPr="00962F0A">
        <w:t xml:space="preserve"> The development of a community of inquiry over time </w:t>
      </w:r>
      <w:r>
        <w:tab/>
      </w:r>
      <w:r>
        <w:tab/>
      </w:r>
      <w:r w:rsidRPr="00962F0A">
        <w:t xml:space="preserve">in an online course: Understanding the progression and integration of social, cognitive </w:t>
      </w:r>
      <w:r>
        <w:tab/>
      </w:r>
      <w:r>
        <w:tab/>
      </w:r>
      <w:r w:rsidRPr="00962F0A">
        <w:t xml:space="preserve">and teaching presence. </w:t>
      </w:r>
      <w:r w:rsidRPr="00962F0A">
        <w:rPr>
          <w:i/>
        </w:rPr>
        <w:t>Journal of Asynchronous Learning Networks, 12</w:t>
      </w:r>
      <w:r w:rsidRPr="00962F0A">
        <w:t>(3), 3-4, 3-22.</w:t>
      </w:r>
    </w:p>
    <w:p w:rsidR="00D42B5B" w:rsidRPr="00587BCF" w:rsidRDefault="00D42B5B" w:rsidP="00D42B5B">
      <w:pPr>
        <w:tabs>
          <w:tab w:val="left" w:pos="284"/>
        </w:tabs>
        <w:spacing w:after="0" w:line="480" w:lineRule="auto"/>
      </w:pPr>
      <w:r w:rsidRPr="00587BCF">
        <w:t xml:space="preserve">Allen, I. E., &amp; Seaman, J. (2006). </w:t>
      </w:r>
      <w:proofErr w:type="gramStart"/>
      <w:r w:rsidRPr="00587BCF">
        <w:rPr>
          <w:i/>
        </w:rPr>
        <w:t xml:space="preserve">Making the grade: Online education in the United </w:t>
      </w:r>
      <w:r w:rsidRPr="00587BCF">
        <w:rPr>
          <w:i/>
        </w:rPr>
        <w:tab/>
      </w:r>
      <w:r w:rsidRPr="00587BCF">
        <w:rPr>
          <w:i/>
        </w:rPr>
        <w:tab/>
      </w:r>
      <w:r w:rsidRPr="00587BCF">
        <w:rPr>
          <w:i/>
        </w:rPr>
        <w:tab/>
        <w:t xml:space="preserve">States, </w:t>
      </w:r>
      <w:r w:rsidRPr="00587BCF">
        <w:rPr>
          <w:i/>
        </w:rPr>
        <w:tab/>
        <w:t>2006.</w:t>
      </w:r>
      <w:proofErr w:type="gramEnd"/>
      <w:r w:rsidRPr="00587BCF">
        <w:rPr>
          <w:i/>
        </w:rPr>
        <w:t xml:space="preserve"> </w:t>
      </w:r>
      <w:r w:rsidRPr="00587BCF">
        <w:t>Needham, MA: The Sloan Consortium. Retrieved from</w:t>
      </w:r>
      <w:r w:rsidRPr="00587BCF">
        <w:tab/>
      </w:r>
      <w:r w:rsidRPr="00587BCF">
        <w:tab/>
      </w:r>
      <w:r w:rsidRPr="00587BCF">
        <w:tab/>
      </w:r>
      <w:r w:rsidRPr="00587BCF">
        <w:tab/>
        <w:t>http://www.sloanconsortiumfrom.org/sites/default/files/Making_the_Grade.pdf</w:t>
      </w:r>
    </w:p>
    <w:p w:rsidR="00D42B5B" w:rsidRPr="00587BCF" w:rsidRDefault="00D42B5B" w:rsidP="00D42B5B">
      <w:pPr>
        <w:tabs>
          <w:tab w:val="left" w:pos="709"/>
        </w:tabs>
        <w:spacing w:after="0" w:line="480" w:lineRule="auto"/>
      </w:pPr>
      <w:r w:rsidRPr="00587BCF">
        <w:t xml:space="preserve">Allen, I. E., &amp; Seaman, J. (2007). </w:t>
      </w:r>
      <w:r w:rsidRPr="00587BCF">
        <w:rPr>
          <w:i/>
        </w:rPr>
        <w:t xml:space="preserve">Online nation: Five years of growth in online learning. </w:t>
      </w:r>
      <w:r w:rsidRPr="00587BCF">
        <w:rPr>
          <w:i/>
        </w:rPr>
        <w:tab/>
      </w:r>
      <w:r w:rsidRPr="00587BCF">
        <w:t xml:space="preserve">Needham, MA: The Sloan Consortium. Retrieved from: </w:t>
      </w:r>
      <w:r w:rsidRPr="00587BCF">
        <w:tab/>
      </w:r>
      <w:r w:rsidRPr="00587BCF">
        <w:tab/>
      </w:r>
      <w:r w:rsidRPr="00587BCF">
        <w:tab/>
        <w:t>http://www.sloanconsortium.org /publications/survey/</w:t>
      </w:r>
      <w:proofErr w:type="spellStart"/>
      <w:r w:rsidRPr="00587BCF">
        <w:t>pdf</w:t>
      </w:r>
      <w:proofErr w:type="spellEnd"/>
      <w:r w:rsidRPr="00587BCF">
        <w:t xml:space="preserve">/online_nation.pdf  </w:t>
      </w:r>
    </w:p>
    <w:p w:rsidR="00D42B5B" w:rsidRPr="00587BCF" w:rsidRDefault="00D42B5B" w:rsidP="00D42B5B">
      <w:pPr>
        <w:tabs>
          <w:tab w:val="left" w:pos="284"/>
        </w:tabs>
        <w:spacing w:after="0" w:line="480" w:lineRule="auto"/>
      </w:pPr>
      <w:r w:rsidRPr="00587BCF">
        <w:t xml:space="preserve">Allen, I. E., &amp; Seaman, J. (2010). </w:t>
      </w:r>
      <w:r w:rsidRPr="00587BCF">
        <w:rPr>
          <w:i/>
        </w:rPr>
        <w:t>Learning on demand:</w:t>
      </w:r>
      <w:r w:rsidRPr="00587BCF">
        <w:t xml:space="preserve"> </w:t>
      </w:r>
      <w:r w:rsidRPr="00587BCF">
        <w:rPr>
          <w:i/>
        </w:rPr>
        <w:t xml:space="preserve">Online education in the United </w:t>
      </w:r>
      <w:r w:rsidRPr="00587BCF">
        <w:rPr>
          <w:i/>
        </w:rPr>
        <w:tab/>
      </w:r>
      <w:r w:rsidRPr="00587BCF">
        <w:rPr>
          <w:i/>
        </w:rPr>
        <w:tab/>
      </w:r>
      <w:r w:rsidRPr="00587BCF">
        <w:rPr>
          <w:i/>
        </w:rPr>
        <w:tab/>
        <w:t xml:space="preserve">States, </w:t>
      </w:r>
      <w:r w:rsidRPr="00587BCF">
        <w:rPr>
          <w:i/>
        </w:rPr>
        <w:tab/>
        <w:t xml:space="preserve">2009. </w:t>
      </w:r>
      <w:r w:rsidRPr="00587BCF">
        <w:t xml:space="preserve">Babson Park, MA: Babson Survey Research Group. Retrieved from </w:t>
      </w:r>
      <w:r w:rsidRPr="00587BCF">
        <w:tab/>
      </w:r>
      <w:r w:rsidRPr="00587BCF">
        <w:tab/>
        <w:t>http://www.sloan consortium.org/publications/survey/</w:t>
      </w:r>
      <w:proofErr w:type="spellStart"/>
      <w:r w:rsidRPr="00587BCF">
        <w:t>pdf</w:t>
      </w:r>
      <w:proofErr w:type="spellEnd"/>
      <w:r w:rsidRPr="00587BCF">
        <w:t>/</w:t>
      </w:r>
      <w:proofErr w:type="spellStart"/>
      <w:r w:rsidRPr="00587BCF">
        <w:t>learningondemand</w:t>
      </w:r>
      <w:proofErr w:type="spellEnd"/>
      <w:r w:rsidRPr="00587BCF">
        <w:t xml:space="preserve"> </w:t>
      </w:r>
      <w:r>
        <w:tab/>
      </w:r>
      <w:r>
        <w:tab/>
      </w:r>
      <w:r>
        <w:tab/>
      </w:r>
      <w:r w:rsidRPr="00587BCF">
        <w:t>.</w:t>
      </w:r>
      <w:proofErr w:type="spellStart"/>
      <w:r w:rsidRPr="00587BCF">
        <w:t>pdf</w:t>
      </w:r>
      <w:proofErr w:type="spellEnd"/>
    </w:p>
    <w:p w:rsidR="00D42B5B" w:rsidRPr="00587BCF" w:rsidRDefault="00D42B5B" w:rsidP="00D42B5B">
      <w:pPr>
        <w:tabs>
          <w:tab w:val="left" w:pos="284"/>
        </w:tabs>
        <w:spacing w:after="0" w:line="480" w:lineRule="auto"/>
      </w:pPr>
      <w:r w:rsidRPr="00587BCF">
        <w:t xml:space="preserve">Allen, I. E., &amp; Seaman, J. (2011). </w:t>
      </w:r>
      <w:proofErr w:type="gramStart"/>
      <w:r w:rsidRPr="00587BCF">
        <w:rPr>
          <w:i/>
        </w:rPr>
        <w:t xml:space="preserve">Going the distance: Online education in the United States, </w:t>
      </w:r>
      <w:r w:rsidRPr="00587BCF">
        <w:rPr>
          <w:i/>
        </w:rPr>
        <w:tab/>
      </w:r>
      <w:r w:rsidRPr="00587BCF">
        <w:rPr>
          <w:i/>
        </w:rPr>
        <w:tab/>
        <w:t>2011.</w:t>
      </w:r>
      <w:proofErr w:type="gramEnd"/>
      <w:r w:rsidRPr="00587BCF">
        <w:rPr>
          <w:i/>
        </w:rPr>
        <w:t xml:space="preserve"> </w:t>
      </w:r>
      <w:r w:rsidRPr="00587BCF">
        <w:t xml:space="preserve">Babson Park, MA: Babson Park Research Group and Quahog Research Group. </w:t>
      </w:r>
      <w:r w:rsidRPr="00587BCF">
        <w:tab/>
      </w:r>
      <w:r w:rsidRPr="00587BCF">
        <w:tab/>
        <w:t xml:space="preserve">Retrieved from http://www.onlinelearningsurvey.com/reports/goingthedistance.pdf  </w:t>
      </w:r>
    </w:p>
    <w:p w:rsidR="00D42B5B" w:rsidRPr="00587BCF" w:rsidRDefault="00D42B5B" w:rsidP="00D42B5B">
      <w:pPr>
        <w:tabs>
          <w:tab w:val="left" w:pos="284"/>
        </w:tabs>
        <w:spacing w:after="0" w:line="480" w:lineRule="auto"/>
      </w:pPr>
      <w:r w:rsidRPr="00587BCF">
        <w:t xml:space="preserve">Allen, I. E., &amp; Seaman, J. (2013). </w:t>
      </w:r>
      <w:proofErr w:type="gramStart"/>
      <w:r w:rsidRPr="00587BCF">
        <w:rPr>
          <w:i/>
        </w:rPr>
        <w:t xml:space="preserve">Changing course: Ten years of tracking online education in </w:t>
      </w:r>
      <w:r w:rsidRPr="00587BCF">
        <w:rPr>
          <w:i/>
        </w:rPr>
        <w:tab/>
      </w:r>
      <w:r w:rsidRPr="00587BCF">
        <w:rPr>
          <w:i/>
        </w:rPr>
        <w:tab/>
        <w:t>the United States.</w:t>
      </w:r>
      <w:proofErr w:type="gramEnd"/>
      <w:r w:rsidRPr="00587BCF">
        <w:t xml:space="preserve"> Babson Park, MA: Babson Park Research Group and Quahog </w:t>
      </w:r>
      <w:r w:rsidRPr="00587BCF">
        <w:tab/>
      </w:r>
      <w:r w:rsidRPr="00587BCF">
        <w:tab/>
      </w:r>
      <w:r w:rsidRPr="00587BCF">
        <w:tab/>
        <w:t>Research Group. Retrieved from http://babson.qualtrics.com/ SE/</w:t>
      </w:r>
      <w:proofErr w:type="gramStart"/>
      <w:r w:rsidRPr="00587BCF">
        <w:t>?SID</w:t>
      </w:r>
      <w:proofErr w:type="gramEnd"/>
      <w:r w:rsidRPr="00587BCF">
        <w:t>=SV</w:t>
      </w:r>
    </w:p>
    <w:p w:rsidR="00D42B5B" w:rsidRDefault="00D42B5B" w:rsidP="00D42B5B">
      <w:pPr>
        <w:tabs>
          <w:tab w:val="left" w:pos="284"/>
        </w:tabs>
        <w:spacing w:after="0" w:line="480" w:lineRule="auto"/>
      </w:pPr>
      <w:r w:rsidRPr="00587BCF">
        <w:tab/>
      </w:r>
      <w:r w:rsidRPr="00587BCF">
        <w:tab/>
        <w:t xml:space="preserve">_4SjGnHcStH5g9G5 </w:t>
      </w:r>
      <w:r w:rsidRPr="00587BCF">
        <w:rPr>
          <w:i/>
        </w:rPr>
        <w:t xml:space="preserve">  </w:t>
      </w:r>
    </w:p>
    <w:p w:rsidR="005C3C7B" w:rsidRDefault="005C3C7B" w:rsidP="005C3C7B">
      <w:pPr>
        <w:autoSpaceDE w:val="0"/>
        <w:autoSpaceDN w:val="0"/>
        <w:adjustRightInd w:val="0"/>
        <w:spacing w:after="0" w:line="480" w:lineRule="auto"/>
      </w:pPr>
      <w:proofErr w:type="gramStart"/>
      <w:r>
        <w:lastRenderedPageBreak/>
        <w:t xml:space="preserve">Anderson, T., </w:t>
      </w:r>
      <w:proofErr w:type="spellStart"/>
      <w:r>
        <w:t>Rourke</w:t>
      </w:r>
      <w:proofErr w:type="spellEnd"/>
      <w:r>
        <w:t>, L., Garrison, D. R., &amp; Archer, W. (2001).</w:t>
      </w:r>
      <w:proofErr w:type="gramEnd"/>
      <w:r>
        <w:t xml:space="preserve"> </w:t>
      </w:r>
      <w:proofErr w:type="gramStart"/>
      <w:r>
        <w:t xml:space="preserve">Assessing teaching presence </w:t>
      </w:r>
      <w:r>
        <w:tab/>
        <w:t>in a computer conferencing context.</w:t>
      </w:r>
      <w:proofErr w:type="gramEnd"/>
      <w:r>
        <w:t xml:space="preserve"> </w:t>
      </w:r>
      <w:r>
        <w:rPr>
          <w:i/>
        </w:rPr>
        <w:t xml:space="preserve">Journal of Asynchronous Learning Networks, </w:t>
      </w:r>
      <w:r>
        <w:rPr>
          <w:i/>
        </w:rPr>
        <w:tab/>
        <w:t>5</w:t>
      </w:r>
      <w:r>
        <w:t xml:space="preserve">(2), 1-17.  Retrieved from </w:t>
      </w:r>
      <w:r w:rsidRPr="00EC05B3">
        <w:t>http://auspace.athabascau.ca/bitstream/2149</w:t>
      </w:r>
    </w:p>
    <w:p w:rsidR="005C3C7B" w:rsidRDefault="005C3C7B" w:rsidP="005C3C7B">
      <w:pPr>
        <w:autoSpaceDE w:val="0"/>
        <w:autoSpaceDN w:val="0"/>
        <w:adjustRightInd w:val="0"/>
        <w:spacing w:after="0" w:line="480" w:lineRule="auto"/>
      </w:pPr>
      <w:r>
        <w:tab/>
      </w:r>
      <w:r w:rsidRPr="00EC05B3">
        <w:t>/725/1/assessing_teaching_presence.pdf</w:t>
      </w:r>
    </w:p>
    <w:p w:rsidR="005C3C7B" w:rsidRDefault="005C3C7B" w:rsidP="00D42B5B">
      <w:pPr>
        <w:tabs>
          <w:tab w:val="left" w:pos="284"/>
        </w:tabs>
        <w:spacing w:after="0" w:line="480" w:lineRule="auto"/>
      </w:pPr>
      <w:proofErr w:type="spellStart"/>
      <w:r>
        <w:t>Arbaugh</w:t>
      </w:r>
      <w:proofErr w:type="spellEnd"/>
      <w:r>
        <w:t xml:space="preserve">, J. B. (2008). Does the community of inquiry framework predict outcomes in online </w:t>
      </w:r>
      <w:r>
        <w:tab/>
      </w:r>
      <w:r>
        <w:tab/>
        <w:t xml:space="preserve">MBA courses? </w:t>
      </w:r>
      <w:r>
        <w:rPr>
          <w:i/>
        </w:rPr>
        <w:t xml:space="preserve">The International Review of Research </w:t>
      </w:r>
      <w:proofErr w:type="gramStart"/>
      <w:r>
        <w:rPr>
          <w:i/>
        </w:rPr>
        <w:t>In</w:t>
      </w:r>
      <w:proofErr w:type="gramEnd"/>
      <w:r>
        <w:rPr>
          <w:i/>
        </w:rPr>
        <w:t xml:space="preserve"> Open and Distance Learning,  </w:t>
      </w:r>
      <w:r>
        <w:rPr>
          <w:i/>
        </w:rPr>
        <w:tab/>
      </w:r>
      <w:r>
        <w:rPr>
          <w:i/>
        </w:rPr>
        <w:tab/>
        <w:t>9</w:t>
      </w:r>
      <w:r>
        <w:t>(2), 1-21.</w:t>
      </w:r>
    </w:p>
    <w:p w:rsidR="00D42B5B" w:rsidRDefault="00D42B5B" w:rsidP="00D42B5B">
      <w:pPr>
        <w:tabs>
          <w:tab w:val="left" w:pos="284"/>
        </w:tabs>
        <w:spacing w:after="0" w:line="480" w:lineRule="auto"/>
      </w:pPr>
      <w:proofErr w:type="gramStart"/>
      <w:r w:rsidRPr="00587BCF">
        <w:t xml:space="preserve">Bernard, R. M., </w:t>
      </w:r>
      <w:proofErr w:type="spellStart"/>
      <w:r w:rsidRPr="00587BCF">
        <w:t>Abrami</w:t>
      </w:r>
      <w:proofErr w:type="spellEnd"/>
      <w:r w:rsidRPr="00587BCF">
        <w:t xml:space="preserve">, P. C., Lou, Y., &amp; </w:t>
      </w:r>
      <w:proofErr w:type="spellStart"/>
      <w:r w:rsidRPr="00587BCF">
        <w:t>Borokhovski</w:t>
      </w:r>
      <w:proofErr w:type="spellEnd"/>
      <w:r w:rsidRPr="00587BCF">
        <w:t>, E. (2004).</w:t>
      </w:r>
      <w:proofErr w:type="gramEnd"/>
      <w:r w:rsidRPr="00587BCF">
        <w:t xml:space="preserve"> </w:t>
      </w:r>
      <w:proofErr w:type="gramStart"/>
      <w:r w:rsidRPr="00587BCF">
        <w:t xml:space="preserve">A methodological </w:t>
      </w:r>
      <w:r w:rsidRPr="00587BCF">
        <w:tab/>
      </w:r>
      <w:r w:rsidRPr="00587BCF">
        <w:tab/>
      </w:r>
      <w:r w:rsidRPr="00587BCF">
        <w:tab/>
        <w:t>morass?</w:t>
      </w:r>
      <w:proofErr w:type="gramEnd"/>
      <w:r w:rsidRPr="00587BCF">
        <w:t xml:space="preserve"> How we can improve quantitative research in distance education. </w:t>
      </w:r>
      <w:r w:rsidRPr="00587BCF">
        <w:rPr>
          <w:i/>
        </w:rPr>
        <w:t xml:space="preserve">Distance </w:t>
      </w:r>
      <w:r w:rsidRPr="00587BCF">
        <w:rPr>
          <w:i/>
        </w:rPr>
        <w:tab/>
      </w:r>
      <w:r w:rsidRPr="00587BCF">
        <w:rPr>
          <w:i/>
        </w:rPr>
        <w:tab/>
        <w:t>Education, 25</w:t>
      </w:r>
      <w:r w:rsidRPr="00587BCF">
        <w:t>(2), 175-198.</w:t>
      </w:r>
    </w:p>
    <w:p w:rsidR="00D42B5B" w:rsidRPr="003423A0" w:rsidRDefault="00D42B5B" w:rsidP="00D42B5B">
      <w:pPr>
        <w:tabs>
          <w:tab w:val="left" w:pos="284"/>
        </w:tabs>
        <w:spacing w:after="0" w:line="480" w:lineRule="auto"/>
      </w:pPr>
      <w:proofErr w:type="gramStart"/>
      <w:r w:rsidRPr="003423A0">
        <w:t>Boston, W., Diaz, S. R., Gibson, A. M., Ice, P., Richardson, J., &amp; Swan K. (2009).</w:t>
      </w:r>
      <w:proofErr w:type="gramEnd"/>
      <w:r w:rsidRPr="003423A0">
        <w:t xml:space="preserve"> </w:t>
      </w:r>
      <w:proofErr w:type="gramStart"/>
      <w:r w:rsidRPr="003423A0">
        <w:t xml:space="preserve">An </w:t>
      </w:r>
      <w:r>
        <w:tab/>
      </w:r>
      <w:r>
        <w:tab/>
      </w:r>
      <w:r>
        <w:tab/>
      </w:r>
      <w:r w:rsidRPr="003423A0">
        <w:t xml:space="preserve">exploration of the relationship between indicators of the community of inquiry </w:t>
      </w:r>
      <w:r>
        <w:tab/>
      </w:r>
      <w:r>
        <w:tab/>
      </w:r>
      <w:r>
        <w:tab/>
      </w:r>
      <w:r w:rsidRPr="003423A0">
        <w:t>framework and retention in online programs.</w:t>
      </w:r>
      <w:proofErr w:type="gramEnd"/>
      <w:r w:rsidRPr="003423A0">
        <w:t xml:space="preserve"> </w:t>
      </w:r>
      <w:r w:rsidRPr="003423A0">
        <w:rPr>
          <w:i/>
        </w:rPr>
        <w:t xml:space="preserve">Journal of Asynchronous Learning </w:t>
      </w:r>
      <w:r>
        <w:rPr>
          <w:i/>
        </w:rPr>
        <w:tab/>
      </w:r>
      <w:r>
        <w:rPr>
          <w:i/>
        </w:rPr>
        <w:tab/>
      </w:r>
      <w:r>
        <w:rPr>
          <w:i/>
        </w:rPr>
        <w:tab/>
      </w:r>
      <w:r w:rsidRPr="003423A0">
        <w:rPr>
          <w:i/>
        </w:rPr>
        <w:t>Networks, 13</w:t>
      </w:r>
      <w:r w:rsidRPr="003423A0">
        <w:t>(3), 67-83.</w:t>
      </w:r>
    </w:p>
    <w:p w:rsidR="00D42B5B" w:rsidRPr="00305004" w:rsidRDefault="00D42B5B" w:rsidP="00D42B5B">
      <w:pPr>
        <w:spacing w:after="0" w:line="480" w:lineRule="auto"/>
      </w:pPr>
      <w:proofErr w:type="spellStart"/>
      <w:r>
        <w:t>Brophy</w:t>
      </w:r>
      <w:proofErr w:type="spellEnd"/>
      <w:r>
        <w:t xml:space="preserve">, J. (1986). Teacher influences on student achievement. </w:t>
      </w:r>
      <w:r>
        <w:rPr>
          <w:i/>
        </w:rPr>
        <w:t xml:space="preserve">The American Psychologist, </w:t>
      </w:r>
      <w:r>
        <w:rPr>
          <w:i/>
        </w:rPr>
        <w:tab/>
        <w:t>41</w:t>
      </w:r>
      <w:r>
        <w:t>(10), 1069-1077.</w:t>
      </w:r>
      <w:r>
        <w:rPr>
          <w:i/>
        </w:rPr>
        <w:t xml:space="preserve"> </w:t>
      </w:r>
    </w:p>
    <w:p w:rsidR="00D42B5B" w:rsidRDefault="00D42B5B" w:rsidP="00D42B5B">
      <w:pPr>
        <w:tabs>
          <w:tab w:val="left" w:pos="284"/>
        </w:tabs>
        <w:spacing w:after="0" w:line="480" w:lineRule="auto"/>
      </w:pPr>
      <w:r w:rsidRPr="00587BCF">
        <w:t xml:space="preserve">Carr, S. (2000). As distance education comes of age, the challenge is keeping the students. </w:t>
      </w:r>
      <w:r w:rsidRPr="00587BCF">
        <w:tab/>
      </w:r>
      <w:r w:rsidRPr="00587BCF">
        <w:tab/>
      </w:r>
      <w:proofErr w:type="gramStart"/>
      <w:r w:rsidRPr="00587BCF">
        <w:rPr>
          <w:i/>
        </w:rPr>
        <w:t>The Chronicle of Higher Education, 46</w:t>
      </w:r>
      <w:r w:rsidRPr="00587BCF">
        <w:t>(23), A39-A41.</w:t>
      </w:r>
      <w:proofErr w:type="gramEnd"/>
    </w:p>
    <w:p w:rsidR="005C3C7B" w:rsidRDefault="005C3C7B" w:rsidP="005C3C7B">
      <w:pPr>
        <w:autoSpaceDE w:val="0"/>
        <w:autoSpaceDN w:val="0"/>
        <w:adjustRightInd w:val="0"/>
        <w:spacing w:after="0" w:line="480" w:lineRule="auto"/>
      </w:pPr>
      <w:r>
        <w:t xml:space="preserve">Cross, K. P. (1998). Why learning communities? Why now. </w:t>
      </w:r>
      <w:proofErr w:type="gramStart"/>
      <w:r>
        <w:rPr>
          <w:i/>
        </w:rPr>
        <w:t>About campus, 3</w:t>
      </w:r>
      <w:r>
        <w:t>(3), 4-11.</w:t>
      </w:r>
      <w:proofErr w:type="gramEnd"/>
      <w:r>
        <w:t xml:space="preserve"> </w:t>
      </w:r>
    </w:p>
    <w:p w:rsidR="005C3C7B" w:rsidRDefault="005C3C7B" w:rsidP="005C3C7B">
      <w:pPr>
        <w:autoSpaceDE w:val="0"/>
        <w:autoSpaceDN w:val="0"/>
        <w:adjustRightInd w:val="0"/>
        <w:spacing w:after="0" w:line="480" w:lineRule="auto"/>
      </w:pPr>
      <w:r>
        <w:tab/>
        <w:t xml:space="preserve">Retrieved from </w:t>
      </w:r>
      <w:r w:rsidRPr="00DB0173">
        <w:t>http://www.nhcuc.org/pdfs/CrossLC.pdf</w:t>
      </w:r>
    </w:p>
    <w:p w:rsidR="00D42B5B" w:rsidRDefault="00D42B5B" w:rsidP="00D42B5B">
      <w:pPr>
        <w:spacing w:after="0" w:line="480" w:lineRule="auto"/>
      </w:pPr>
      <w:proofErr w:type="spellStart"/>
      <w:proofErr w:type="gramStart"/>
      <w:r>
        <w:t>Eide</w:t>
      </w:r>
      <w:proofErr w:type="spellEnd"/>
      <w:r>
        <w:t>, C., &amp; McCarthy, E. (1995).</w:t>
      </w:r>
      <w:proofErr w:type="gramEnd"/>
      <w:r>
        <w:t xml:space="preserve"> One teaching style doesn`t fit all. </w:t>
      </w:r>
      <w:r>
        <w:rPr>
          <w:i/>
        </w:rPr>
        <w:t xml:space="preserve">Thrust for Educational </w:t>
      </w:r>
      <w:r>
        <w:rPr>
          <w:i/>
        </w:rPr>
        <w:tab/>
        <w:t>Leadership 25</w:t>
      </w:r>
      <w:r>
        <w:t>(2), 28-29.</w:t>
      </w:r>
    </w:p>
    <w:p w:rsidR="00D42B5B" w:rsidRDefault="00D42B5B" w:rsidP="00D42B5B">
      <w:pPr>
        <w:spacing w:after="0" w:line="480" w:lineRule="auto"/>
      </w:pPr>
      <w:proofErr w:type="gramStart"/>
      <w:r>
        <w:t>Fischer, B. B., &amp; Fischer, L. (1979).</w:t>
      </w:r>
      <w:proofErr w:type="gramEnd"/>
      <w:r>
        <w:t xml:space="preserve"> </w:t>
      </w:r>
      <w:proofErr w:type="gramStart"/>
      <w:r>
        <w:t>Styles in teaching and learning.</w:t>
      </w:r>
      <w:proofErr w:type="gramEnd"/>
      <w:r>
        <w:t xml:space="preserve"> </w:t>
      </w:r>
      <w:r>
        <w:rPr>
          <w:i/>
        </w:rPr>
        <w:t xml:space="preserve">Educational Leadership, </w:t>
      </w:r>
      <w:r>
        <w:rPr>
          <w:i/>
        </w:rPr>
        <w:tab/>
        <w:t>36</w:t>
      </w:r>
      <w:r>
        <w:t xml:space="preserve">(4), 245-254. </w:t>
      </w:r>
    </w:p>
    <w:p w:rsidR="00D42B5B" w:rsidRPr="00105753" w:rsidRDefault="00D42B5B" w:rsidP="00D42B5B">
      <w:pPr>
        <w:tabs>
          <w:tab w:val="left" w:pos="284"/>
        </w:tabs>
        <w:spacing w:after="0" w:line="480" w:lineRule="auto"/>
      </w:pPr>
      <w:proofErr w:type="spellStart"/>
      <w:proofErr w:type="gramStart"/>
      <w:r>
        <w:lastRenderedPageBreak/>
        <w:t>Fredericksen</w:t>
      </w:r>
      <w:proofErr w:type="spellEnd"/>
      <w:r>
        <w:t xml:space="preserve">, E., Pickett, A., Shea, P., </w:t>
      </w:r>
      <w:proofErr w:type="spellStart"/>
      <w:r>
        <w:t>Pelz</w:t>
      </w:r>
      <w:proofErr w:type="spellEnd"/>
      <w:r>
        <w:t>, W., &amp; Swan, K. (2000).</w:t>
      </w:r>
      <w:proofErr w:type="gramEnd"/>
      <w:r>
        <w:t xml:space="preserve"> Student satisfaction and </w:t>
      </w:r>
      <w:r>
        <w:tab/>
      </w:r>
      <w:r>
        <w:tab/>
        <w:t xml:space="preserve">perceived learning with online courses: principles and examples from the SUNY </w:t>
      </w:r>
      <w:r>
        <w:tab/>
      </w:r>
      <w:r>
        <w:tab/>
        <w:t xml:space="preserve">learning network. </w:t>
      </w:r>
      <w:r>
        <w:rPr>
          <w:i/>
        </w:rPr>
        <w:t>Journal of Asynchronous Learning Networks, 4</w:t>
      </w:r>
      <w:r>
        <w:t>(2), 7-41.</w:t>
      </w:r>
      <w:r>
        <w:rPr>
          <w:i/>
        </w:rPr>
        <w:t xml:space="preserve"> </w:t>
      </w:r>
    </w:p>
    <w:p w:rsidR="005C3C7B" w:rsidRDefault="005C3C7B" w:rsidP="005C3C7B">
      <w:pPr>
        <w:autoSpaceDE w:val="0"/>
        <w:autoSpaceDN w:val="0"/>
        <w:adjustRightInd w:val="0"/>
        <w:spacing w:after="0" w:line="480" w:lineRule="auto"/>
      </w:pPr>
      <w:proofErr w:type="gramStart"/>
      <w:r>
        <w:t>Garrison, D. R. (2003).</w:t>
      </w:r>
      <w:proofErr w:type="gramEnd"/>
      <w:r>
        <w:t xml:space="preserve"> Cognitive presence for effective asynchronous online learning: The </w:t>
      </w:r>
      <w:r>
        <w:tab/>
        <w:t xml:space="preserve">role of reflective inquiry, self-direction and metacognition. Paper presented at the </w:t>
      </w:r>
      <w:r>
        <w:tab/>
        <w:t xml:space="preserve">Fourth Annual Sloan ALN Workshop, </w:t>
      </w:r>
      <w:proofErr w:type="spellStart"/>
      <w:r>
        <w:t>Boltons</w:t>
      </w:r>
      <w:proofErr w:type="spellEnd"/>
      <w:r>
        <w:t xml:space="preserve"> </w:t>
      </w:r>
      <w:proofErr w:type="spellStart"/>
      <w:r>
        <w:t>Langind</w:t>
      </w:r>
      <w:proofErr w:type="spellEnd"/>
      <w:r>
        <w:t xml:space="preserve">, NY. Retrieved from </w:t>
      </w:r>
    </w:p>
    <w:p w:rsidR="005C3C7B" w:rsidRDefault="005C3C7B" w:rsidP="005C3C7B">
      <w:pPr>
        <w:autoSpaceDE w:val="0"/>
        <w:autoSpaceDN w:val="0"/>
        <w:adjustRightInd w:val="0"/>
        <w:spacing w:after="0" w:line="480" w:lineRule="auto"/>
      </w:pPr>
      <w:r>
        <w:tab/>
      </w:r>
      <w:r w:rsidRPr="0077178B">
        <w:t>http://cguevara.commons.gc.cuny.edu/files/2009/09/Learning-Effectiveness-paper-</w:t>
      </w:r>
      <w:r>
        <w:tab/>
      </w:r>
      <w:r w:rsidRPr="0077178B">
        <w:t>Garrison.pdf</w:t>
      </w:r>
    </w:p>
    <w:p w:rsidR="00D42B5B" w:rsidRPr="0083039D" w:rsidRDefault="00D42B5B" w:rsidP="00D42B5B">
      <w:pPr>
        <w:tabs>
          <w:tab w:val="left" w:pos="284"/>
        </w:tabs>
        <w:spacing w:after="0" w:line="480" w:lineRule="auto"/>
      </w:pPr>
      <w:proofErr w:type="gramStart"/>
      <w:r w:rsidRPr="006A6C08">
        <w:t>Garrison, D. R. (2008).</w:t>
      </w:r>
      <w:proofErr w:type="gramEnd"/>
      <w:r w:rsidRPr="006A6C08">
        <w:t xml:space="preserve"> </w:t>
      </w:r>
      <w:r w:rsidRPr="006A6C08">
        <w:rPr>
          <w:color w:val="231F20"/>
        </w:rPr>
        <w:t>Communities of Inquiry in online learning: Social, teaching and</w:t>
      </w:r>
    </w:p>
    <w:p w:rsidR="00D42B5B" w:rsidRPr="006A6C08" w:rsidRDefault="00D42B5B" w:rsidP="00D42B5B">
      <w:pPr>
        <w:tabs>
          <w:tab w:val="left" w:pos="284"/>
        </w:tabs>
        <w:autoSpaceDE w:val="0"/>
        <w:autoSpaceDN w:val="0"/>
        <w:adjustRightInd w:val="0"/>
        <w:spacing w:after="0" w:line="480" w:lineRule="auto"/>
        <w:rPr>
          <w:color w:val="231F20"/>
        </w:rPr>
      </w:pPr>
      <w:r>
        <w:rPr>
          <w:color w:val="231F20"/>
        </w:rPr>
        <w:tab/>
      </w:r>
      <w:r>
        <w:rPr>
          <w:color w:val="231F20"/>
        </w:rPr>
        <w:tab/>
      </w:r>
      <w:proofErr w:type="gramStart"/>
      <w:r w:rsidRPr="006A6C08">
        <w:rPr>
          <w:color w:val="231F20"/>
        </w:rPr>
        <w:t>cognitive</w:t>
      </w:r>
      <w:proofErr w:type="gramEnd"/>
      <w:r w:rsidRPr="006A6C08">
        <w:rPr>
          <w:color w:val="231F20"/>
        </w:rPr>
        <w:t xml:space="preserve"> presence. In C. Howard (Ed.), Encyclopedia of distance and online learning</w:t>
      </w:r>
    </w:p>
    <w:p w:rsidR="00D42B5B" w:rsidRDefault="00D42B5B" w:rsidP="00D42B5B">
      <w:pPr>
        <w:tabs>
          <w:tab w:val="left" w:pos="284"/>
        </w:tabs>
        <w:spacing w:after="0" w:line="480" w:lineRule="auto"/>
        <w:rPr>
          <w:color w:val="231F20"/>
        </w:rPr>
      </w:pPr>
      <w:r>
        <w:rPr>
          <w:color w:val="231F20"/>
        </w:rPr>
        <w:tab/>
      </w:r>
      <w:r>
        <w:rPr>
          <w:color w:val="231F20"/>
        </w:rPr>
        <w:tab/>
      </w:r>
      <w:r w:rsidRPr="006A6C08">
        <w:rPr>
          <w:color w:val="231F20"/>
        </w:rPr>
        <w:t>Hershey, PA: IGI Global.</w:t>
      </w:r>
    </w:p>
    <w:p w:rsidR="00D42B5B" w:rsidRDefault="00D42B5B" w:rsidP="00D42B5B">
      <w:pPr>
        <w:tabs>
          <w:tab w:val="left" w:pos="284"/>
        </w:tabs>
        <w:spacing w:after="0" w:line="480" w:lineRule="auto"/>
        <w:rPr>
          <w:color w:val="231F20"/>
        </w:rPr>
      </w:pPr>
      <w:r w:rsidRPr="006A6C08">
        <w:rPr>
          <w:color w:val="231F20"/>
        </w:rPr>
        <w:t xml:space="preserve">Garrison, D. R., &amp; Anderson, J. B. (2007). </w:t>
      </w:r>
      <w:proofErr w:type="gramStart"/>
      <w:r w:rsidRPr="006A6C08">
        <w:rPr>
          <w:color w:val="231F20"/>
        </w:rPr>
        <w:t xml:space="preserve">Researching the community of inquiry </w:t>
      </w:r>
      <w:r w:rsidRPr="006A6C08">
        <w:rPr>
          <w:color w:val="231F20"/>
        </w:rPr>
        <w:tab/>
      </w:r>
      <w:r>
        <w:rPr>
          <w:color w:val="231F20"/>
        </w:rPr>
        <w:tab/>
      </w:r>
      <w:r>
        <w:rPr>
          <w:color w:val="231F20"/>
        </w:rPr>
        <w:tab/>
        <w:t xml:space="preserve">framework: </w:t>
      </w:r>
      <w:r w:rsidRPr="006A6C08">
        <w:rPr>
          <w:color w:val="231F20"/>
        </w:rPr>
        <w:t>Review, issues, and future directions.</w:t>
      </w:r>
      <w:proofErr w:type="gramEnd"/>
      <w:r w:rsidRPr="006A6C08">
        <w:rPr>
          <w:color w:val="231F20"/>
        </w:rPr>
        <w:t xml:space="preserve"> </w:t>
      </w:r>
      <w:r w:rsidRPr="006A6C08">
        <w:rPr>
          <w:i/>
          <w:color w:val="231F20"/>
        </w:rPr>
        <w:t xml:space="preserve">The Internet and Higher </w:t>
      </w:r>
      <w:r>
        <w:rPr>
          <w:i/>
          <w:color w:val="231F20"/>
        </w:rPr>
        <w:tab/>
      </w:r>
      <w:r>
        <w:rPr>
          <w:i/>
          <w:color w:val="231F20"/>
        </w:rPr>
        <w:tab/>
      </w:r>
      <w:r>
        <w:rPr>
          <w:i/>
          <w:color w:val="231F20"/>
        </w:rPr>
        <w:tab/>
      </w:r>
      <w:r w:rsidRPr="006A6C08">
        <w:rPr>
          <w:i/>
          <w:color w:val="231F20"/>
        </w:rPr>
        <w:t xml:space="preserve">Education, 10, </w:t>
      </w:r>
      <w:r w:rsidRPr="006A6C08">
        <w:rPr>
          <w:color w:val="231F20"/>
        </w:rPr>
        <w:t>157-172.</w:t>
      </w:r>
    </w:p>
    <w:p w:rsidR="00D42B5B" w:rsidRPr="006A6C08" w:rsidRDefault="00D42B5B" w:rsidP="00D42B5B">
      <w:pPr>
        <w:spacing w:after="0" w:line="480" w:lineRule="auto"/>
        <w:ind w:left="284" w:hanging="284"/>
      </w:pPr>
      <w:proofErr w:type="gramStart"/>
      <w:r w:rsidRPr="006A6C08">
        <w:t>Garrison, D. R., Anderson, T., &amp; Archer, W. (2000).</w:t>
      </w:r>
      <w:proofErr w:type="gramEnd"/>
      <w:r w:rsidRPr="006A6C08">
        <w:t xml:space="preserve"> Critical inquiry in a text-based </w:t>
      </w:r>
      <w:r>
        <w:tab/>
      </w:r>
      <w:r w:rsidRPr="006A6C08">
        <w:t xml:space="preserve">environment: Computer conferencing in higher education. </w:t>
      </w:r>
      <w:r w:rsidRPr="006A6C08">
        <w:rPr>
          <w:i/>
        </w:rPr>
        <w:t xml:space="preserve">The Internet and Higher </w:t>
      </w:r>
      <w:r>
        <w:rPr>
          <w:i/>
        </w:rPr>
        <w:tab/>
      </w:r>
      <w:r w:rsidRPr="006A6C08">
        <w:rPr>
          <w:i/>
        </w:rPr>
        <w:t>Education, 2</w:t>
      </w:r>
      <w:r w:rsidRPr="006A6C08">
        <w:t>(2-3), 1-19.</w:t>
      </w:r>
    </w:p>
    <w:p w:rsidR="00D42B5B" w:rsidRPr="006A6C08" w:rsidRDefault="00D42B5B" w:rsidP="00D42B5B">
      <w:pPr>
        <w:spacing w:after="0" w:line="480" w:lineRule="auto"/>
      </w:pPr>
      <w:proofErr w:type="gramStart"/>
      <w:r w:rsidRPr="006A6C08">
        <w:t>Garrison, D. R., Anderson, T., &amp; Archer, W. (2001).</w:t>
      </w:r>
      <w:proofErr w:type="gramEnd"/>
      <w:r w:rsidRPr="006A6C08">
        <w:t xml:space="preserve"> Critical thinking, cognitive presence, </w:t>
      </w:r>
    </w:p>
    <w:p w:rsidR="00D42B5B" w:rsidRDefault="00D42B5B" w:rsidP="00D42B5B">
      <w:pPr>
        <w:tabs>
          <w:tab w:val="left" w:pos="284"/>
        </w:tabs>
        <w:spacing w:after="0" w:line="480" w:lineRule="auto"/>
        <w:rPr>
          <w:i/>
        </w:rPr>
      </w:pPr>
      <w:r>
        <w:tab/>
      </w:r>
      <w:r w:rsidR="005C3C7B">
        <w:tab/>
      </w:r>
      <w:proofErr w:type="gramStart"/>
      <w:r w:rsidRPr="006A6C08">
        <w:t>and</w:t>
      </w:r>
      <w:proofErr w:type="gramEnd"/>
      <w:r w:rsidRPr="006A6C08">
        <w:t xml:space="preserve"> computer conferencing in distance education. </w:t>
      </w:r>
      <w:r w:rsidRPr="006A6C08">
        <w:rPr>
          <w:i/>
        </w:rPr>
        <w:t xml:space="preserve">The American Journal of </w:t>
      </w:r>
      <w:r>
        <w:rPr>
          <w:i/>
        </w:rPr>
        <w:tab/>
      </w:r>
      <w:r>
        <w:rPr>
          <w:i/>
        </w:rPr>
        <w:tab/>
      </w:r>
      <w:r>
        <w:rPr>
          <w:i/>
        </w:rPr>
        <w:tab/>
        <w:t xml:space="preserve">Distance </w:t>
      </w:r>
      <w:r w:rsidRPr="006A6C08">
        <w:rPr>
          <w:i/>
        </w:rPr>
        <w:t>Education, 15</w:t>
      </w:r>
      <w:r w:rsidRPr="006A6C08">
        <w:t>(1), 7-23.</w:t>
      </w:r>
      <w:r w:rsidRPr="006A6C08">
        <w:rPr>
          <w:i/>
        </w:rPr>
        <w:t xml:space="preserve"> </w:t>
      </w:r>
    </w:p>
    <w:p w:rsidR="00D42B5B" w:rsidRDefault="00D42B5B" w:rsidP="00D42B5B">
      <w:pPr>
        <w:tabs>
          <w:tab w:val="left" w:pos="284"/>
        </w:tabs>
        <w:spacing w:after="0" w:line="480" w:lineRule="auto"/>
      </w:pPr>
      <w:proofErr w:type="gramStart"/>
      <w:r w:rsidRPr="006A6C08">
        <w:t>Garrison, D. R., Anderson, T., &amp; Archer, W. (2010).</w:t>
      </w:r>
      <w:proofErr w:type="gramEnd"/>
      <w:r w:rsidRPr="006A6C08">
        <w:t xml:space="preserve"> </w:t>
      </w:r>
      <w:proofErr w:type="gramStart"/>
      <w:r w:rsidRPr="006A6C08">
        <w:t xml:space="preserve">The first decade of the community of </w:t>
      </w:r>
      <w:r w:rsidRPr="006A6C08">
        <w:tab/>
      </w:r>
      <w:r>
        <w:tab/>
      </w:r>
      <w:r w:rsidRPr="006A6C08">
        <w:t>inquiry framework.</w:t>
      </w:r>
      <w:proofErr w:type="gramEnd"/>
      <w:r w:rsidRPr="006A6C08">
        <w:t xml:space="preserve"> </w:t>
      </w:r>
      <w:r w:rsidRPr="006A6C08">
        <w:rPr>
          <w:i/>
        </w:rPr>
        <w:t xml:space="preserve">The Internet and Higher Education, 13, </w:t>
      </w:r>
      <w:r w:rsidRPr="006A6C08">
        <w:t>5-9.</w:t>
      </w:r>
    </w:p>
    <w:p w:rsidR="007E26A9" w:rsidRPr="00777497" w:rsidRDefault="007E26A9" w:rsidP="00D42B5B">
      <w:pPr>
        <w:tabs>
          <w:tab w:val="left" w:pos="284"/>
        </w:tabs>
        <w:spacing w:after="0" w:line="480" w:lineRule="auto"/>
      </w:pPr>
      <w:proofErr w:type="gramStart"/>
      <w:r>
        <w:t>Garrison, D. R., Cleveland-Innes, M., Fung, T. S. (2010).</w:t>
      </w:r>
      <w:proofErr w:type="gramEnd"/>
      <w:r>
        <w:t xml:space="preserve"> </w:t>
      </w:r>
      <w:proofErr w:type="gramStart"/>
      <w:r w:rsidR="002F03FD">
        <w:t xml:space="preserve">Exploring causal relationships </w:t>
      </w:r>
      <w:r w:rsidR="002F03FD">
        <w:tab/>
      </w:r>
      <w:r w:rsidR="002F03FD">
        <w:tab/>
        <w:t xml:space="preserve">among teaching, cognitive and social presence: Student perceptions of the community </w:t>
      </w:r>
      <w:r w:rsidR="002F03FD">
        <w:tab/>
      </w:r>
      <w:r w:rsidR="002F03FD">
        <w:tab/>
        <w:t>of inquiry framework.</w:t>
      </w:r>
      <w:proofErr w:type="gramEnd"/>
      <w:r w:rsidR="002F03FD">
        <w:t xml:space="preserve"> </w:t>
      </w:r>
      <w:r w:rsidR="00777497">
        <w:rPr>
          <w:i/>
        </w:rPr>
        <w:t xml:space="preserve">The Internet and Higher Education, 13, </w:t>
      </w:r>
      <w:r w:rsidR="00777497">
        <w:t>31-36.</w:t>
      </w:r>
    </w:p>
    <w:p w:rsidR="005C3C7B" w:rsidRPr="005C3C7B" w:rsidRDefault="005C3C7B" w:rsidP="00D42B5B">
      <w:pPr>
        <w:tabs>
          <w:tab w:val="left" w:pos="284"/>
        </w:tabs>
        <w:spacing w:after="0" w:line="480" w:lineRule="auto"/>
        <w:rPr>
          <w:color w:val="231F20"/>
        </w:rPr>
      </w:pPr>
      <w:r w:rsidRPr="006A6C08">
        <w:rPr>
          <w:color w:val="231F20"/>
        </w:rPr>
        <w:lastRenderedPageBreak/>
        <w:t xml:space="preserve">Garrison, D. R., &amp; </w:t>
      </w:r>
      <w:proofErr w:type="spellStart"/>
      <w:r>
        <w:rPr>
          <w:color w:val="231F20"/>
        </w:rPr>
        <w:t>Arbaugh</w:t>
      </w:r>
      <w:proofErr w:type="spellEnd"/>
      <w:r w:rsidRPr="006A6C08">
        <w:rPr>
          <w:color w:val="231F20"/>
        </w:rPr>
        <w:t xml:space="preserve">, J. B. (2007). </w:t>
      </w:r>
      <w:proofErr w:type="gramStart"/>
      <w:r w:rsidRPr="006A6C08">
        <w:rPr>
          <w:color w:val="231F20"/>
        </w:rPr>
        <w:t>Researching the co</w:t>
      </w:r>
      <w:r>
        <w:rPr>
          <w:color w:val="231F20"/>
        </w:rPr>
        <w:t xml:space="preserve">mmunity of inquiry </w:t>
      </w:r>
      <w:r>
        <w:rPr>
          <w:color w:val="231F20"/>
        </w:rPr>
        <w:tab/>
      </w:r>
      <w:r>
        <w:rPr>
          <w:color w:val="231F20"/>
        </w:rPr>
        <w:tab/>
      </w:r>
      <w:r>
        <w:rPr>
          <w:color w:val="231F20"/>
        </w:rPr>
        <w:tab/>
        <w:t xml:space="preserve">framework: </w:t>
      </w:r>
      <w:r w:rsidRPr="006A6C08">
        <w:rPr>
          <w:color w:val="231F20"/>
        </w:rPr>
        <w:t>Review, issues, and future directions.</w:t>
      </w:r>
      <w:proofErr w:type="gramEnd"/>
      <w:r w:rsidRPr="006A6C08">
        <w:rPr>
          <w:color w:val="231F20"/>
        </w:rPr>
        <w:t xml:space="preserve"> </w:t>
      </w:r>
      <w:r w:rsidRPr="006A6C08">
        <w:rPr>
          <w:i/>
          <w:color w:val="231F20"/>
        </w:rPr>
        <w:t xml:space="preserve">The Internet and Higher </w:t>
      </w:r>
      <w:r>
        <w:rPr>
          <w:i/>
          <w:color w:val="231F20"/>
        </w:rPr>
        <w:tab/>
      </w:r>
      <w:r>
        <w:rPr>
          <w:i/>
          <w:color w:val="231F20"/>
        </w:rPr>
        <w:tab/>
      </w:r>
      <w:r>
        <w:rPr>
          <w:i/>
          <w:color w:val="231F20"/>
        </w:rPr>
        <w:tab/>
      </w:r>
      <w:r w:rsidRPr="006A6C08">
        <w:rPr>
          <w:i/>
          <w:color w:val="231F20"/>
        </w:rPr>
        <w:t>Education, 10</w:t>
      </w:r>
      <w:r>
        <w:rPr>
          <w:color w:val="231F20"/>
        </w:rPr>
        <w:t>(3)</w:t>
      </w:r>
      <w:r w:rsidRPr="006A6C08">
        <w:rPr>
          <w:i/>
          <w:color w:val="231F20"/>
        </w:rPr>
        <w:t xml:space="preserve">, </w:t>
      </w:r>
      <w:r w:rsidRPr="006A6C08">
        <w:rPr>
          <w:color w:val="231F20"/>
        </w:rPr>
        <w:t>157-172.</w:t>
      </w:r>
    </w:p>
    <w:p w:rsidR="005C3C7B" w:rsidRPr="005C3C7B" w:rsidRDefault="005C3C7B" w:rsidP="00D42B5B">
      <w:pPr>
        <w:tabs>
          <w:tab w:val="left" w:pos="284"/>
        </w:tabs>
        <w:spacing w:after="0" w:line="480" w:lineRule="auto"/>
        <w:rPr>
          <w:color w:val="231F20"/>
        </w:rPr>
      </w:pPr>
      <w:proofErr w:type="gramStart"/>
      <w:r w:rsidRPr="00A45D65">
        <w:t>Garrison, D. R.</w:t>
      </w:r>
      <w:r>
        <w:t>, Cleveland-Innes, M., &amp; Fung, T. S. (2004).</w:t>
      </w:r>
      <w:proofErr w:type="gramEnd"/>
      <w:r>
        <w:t xml:space="preserve"> Student role adjustment in online </w:t>
      </w:r>
      <w:r>
        <w:tab/>
      </w:r>
      <w:r>
        <w:tab/>
        <w:t xml:space="preserve">communities of inquiry: Model and instrument validation. </w:t>
      </w:r>
      <w:r>
        <w:rPr>
          <w:i/>
        </w:rPr>
        <w:t xml:space="preserve">Journal of Asynchronous </w:t>
      </w:r>
      <w:r>
        <w:rPr>
          <w:i/>
        </w:rPr>
        <w:tab/>
      </w:r>
      <w:r>
        <w:rPr>
          <w:i/>
        </w:rPr>
        <w:tab/>
        <w:t>Learning Networks, 8</w:t>
      </w:r>
      <w:r>
        <w:t xml:space="preserve">(2), 61-74.  </w:t>
      </w:r>
    </w:p>
    <w:p w:rsidR="00D42B5B" w:rsidRPr="00B11577" w:rsidRDefault="005C3C7B" w:rsidP="00D42B5B">
      <w:pPr>
        <w:tabs>
          <w:tab w:val="left" w:pos="284"/>
        </w:tabs>
        <w:spacing w:after="0" w:line="480" w:lineRule="auto"/>
      </w:pPr>
      <w:proofErr w:type="gramStart"/>
      <w:r>
        <w:t xml:space="preserve">Garrison, D. R., </w:t>
      </w:r>
      <w:proofErr w:type="spellStart"/>
      <w:r>
        <w:t>Clevelend</w:t>
      </w:r>
      <w:proofErr w:type="spellEnd"/>
      <w:r>
        <w:t xml:space="preserve">-Innes, M., </w:t>
      </w:r>
      <w:r w:rsidR="00D42B5B" w:rsidRPr="000C00DF">
        <w:t>&amp; Fung, T. (2010).</w:t>
      </w:r>
      <w:proofErr w:type="gramEnd"/>
      <w:r w:rsidR="00D42B5B" w:rsidRPr="000C00DF">
        <w:t xml:space="preserve"> </w:t>
      </w:r>
      <w:proofErr w:type="gramStart"/>
      <w:r w:rsidR="00D42B5B" w:rsidRPr="000C00DF">
        <w:t xml:space="preserve">Exploring causal relationships </w:t>
      </w:r>
      <w:r w:rsidR="00D42B5B">
        <w:tab/>
      </w:r>
      <w:r w:rsidR="00D42B5B">
        <w:tab/>
      </w:r>
      <w:r w:rsidR="00D42B5B" w:rsidRPr="000C00DF">
        <w:t xml:space="preserve">among teaching, cognitive and social presence: Student perceptions of the community </w:t>
      </w:r>
      <w:r w:rsidR="00D42B5B">
        <w:tab/>
      </w:r>
      <w:r w:rsidR="00D42B5B">
        <w:tab/>
      </w:r>
      <w:r w:rsidR="00D42B5B" w:rsidRPr="000C00DF">
        <w:t>of inquiry framework.</w:t>
      </w:r>
      <w:proofErr w:type="gramEnd"/>
      <w:r w:rsidR="00D42B5B">
        <w:t xml:space="preserve"> </w:t>
      </w:r>
      <w:r w:rsidR="00D42B5B">
        <w:rPr>
          <w:i/>
        </w:rPr>
        <w:t xml:space="preserve">Internet and Higher Education, 13, </w:t>
      </w:r>
      <w:r w:rsidR="00D42B5B">
        <w:t>31-36.</w:t>
      </w:r>
    </w:p>
    <w:p w:rsidR="00D42B5B" w:rsidRDefault="00D42B5B" w:rsidP="00D42B5B">
      <w:pPr>
        <w:spacing w:after="0" w:line="480" w:lineRule="auto"/>
      </w:pPr>
      <w:r>
        <w:t xml:space="preserve">Gayle, G. M. H. (1994). </w:t>
      </w:r>
      <w:proofErr w:type="gramStart"/>
      <w:r>
        <w:t>A new paradigm for heuristic research in teaching styles.</w:t>
      </w:r>
      <w:proofErr w:type="gramEnd"/>
      <w:r>
        <w:t xml:space="preserve"> </w:t>
      </w:r>
      <w:r>
        <w:rPr>
          <w:i/>
        </w:rPr>
        <w:t xml:space="preserve">Religious </w:t>
      </w:r>
      <w:r>
        <w:rPr>
          <w:i/>
        </w:rPr>
        <w:tab/>
        <w:t>Education, 89</w:t>
      </w:r>
      <w:r>
        <w:t>(1), 33-41.</w:t>
      </w:r>
    </w:p>
    <w:p w:rsidR="00D42B5B" w:rsidRDefault="00D42B5B" w:rsidP="00D42B5B">
      <w:pPr>
        <w:spacing w:after="0" w:line="480" w:lineRule="auto"/>
      </w:pPr>
      <w:proofErr w:type="spellStart"/>
      <w:r>
        <w:t>Grasha</w:t>
      </w:r>
      <w:proofErr w:type="spellEnd"/>
      <w:r>
        <w:t xml:space="preserve">, A. F. (1994). </w:t>
      </w:r>
      <w:proofErr w:type="gramStart"/>
      <w:r>
        <w:t>A special section discovering your best teaching styles.</w:t>
      </w:r>
      <w:proofErr w:type="gramEnd"/>
      <w:r>
        <w:t xml:space="preserve"> </w:t>
      </w:r>
      <w:r>
        <w:rPr>
          <w:i/>
        </w:rPr>
        <w:t xml:space="preserve">College </w:t>
      </w:r>
      <w:r>
        <w:rPr>
          <w:i/>
        </w:rPr>
        <w:tab/>
        <w:t>Teaching, 42</w:t>
      </w:r>
      <w:r>
        <w:t>(4), 122-124.</w:t>
      </w:r>
    </w:p>
    <w:p w:rsidR="00D42B5B" w:rsidRDefault="00D42B5B" w:rsidP="00D010A0">
      <w:pPr>
        <w:tabs>
          <w:tab w:val="left" w:pos="284"/>
        </w:tabs>
        <w:spacing w:after="0" w:line="480" w:lineRule="auto"/>
      </w:pPr>
      <w:proofErr w:type="gramStart"/>
      <w:r w:rsidRPr="007B6366">
        <w:t xml:space="preserve">Ice, P., Gibson, A. M., Boston, W., &amp; </w:t>
      </w:r>
      <w:proofErr w:type="spellStart"/>
      <w:r w:rsidRPr="007B6366">
        <w:t>Becher</w:t>
      </w:r>
      <w:proofErr w:type="spellEnd"/>
      <w:r w:rsidRPr="007B6366">
        <w:t>, D. (2011).</w:t>
      </w:r>
      <w:proofErr w:type="gramEnd"/>
      <w:r w:rsidRPr="007B6366">
        <w:t xml:space="preserve"> An Exploration of Differences </w:t>
      </w:r>
      <w:r>
        <w:tab/>
      </w:r>
      <w:r>
        <w:tab/>
      </w:r>
      <w:proofErr w:type="gramStart"/>
      <w:r w:rsidRPr="007B6366">
        <w:t>Between</w:t>
      </w:r>
      <w:proofErr w:type="gramEnd"/>
      <w:r w:rsidRPr="007B6366">
        <w:t xml:space="preserve"> Community of Inquiry Indicators in Low and High Disenrollment Online </w:t>
      </w:r>
      <w:r>
        <w:tab/>
      </w:r>
      <w:r>
        <w:tab/>
      </w:r>
      <w:r w:rsidRPr="007B6366">
        <w:t xml:space="preserve">Courses. </w:t>
      </w:r>
      <w:r w:rsidRPr="007B6366">
        <w:rPr>
          <w:i/>
          <w:iCs/>
        </w:rPr>
        <w:t>Journal of Asynchronous Learning Networks</w:t>
      </w:r>
      <w:r w:rsidRPr="007B6366">
        <w:t xml:space="preserve">, </w:t>
      </w:r>
      <w:r w:rsidRPr="007B6366">
        <w:rPr>
          <w:i/>
          <w:iCs/>
        </w:rPr>
        <w:t>15</w:t>
      </w:r>
      <w:r w:rsidRPr="007B6366">
        <w:t>(2), 44-69.</w:t>
      </w:r>
    </w:p>
    <w:p w:rsidR="00D42B5B" w:rsidRDefault="00D42B5B" w:rsidP="00D010A0">
      <w:pPr>
        <w:tabs>
          <w:tab w:val="left" w:pos="284"/>
        </w:tabs>
        <w:spacing w:after="0" w:line="480" w:lineRule="auto"/>
      </w:pPr>
      <w:proofErr w:type="spellStart"/>
      <w:proofErr w:type="gramStart"/>
      <w:r w:rsidRPr="00587BCF">
        <w:t>Ivankova</w:t>
      </w:r>
      <w:proofErr w:type="spellEnd"/>
      <w:r w:rsidRPr="00587BCF">
        <w:t>, N. V., &amp; Stick, S. L. (2007).</w:t>
      </w:r>
      <w:proofErr w:type="gramEnd"/>
      <w:r w:rsidRPr="00587BCF">
        <w:t xml:space="preserve"> </w:t>
      </w:r>
      <w:proofErr w:type="gramStart"/>
      <w:r w:rsidRPr="00587BCF">
        <w:t xml:space="preserve">Collegiality and community-building as a means for </w:t>
      </w:r>
      <w:r w:rsidRPr="00587BCF">
        <w:tab/>
      </w:r>
      <w:r w:rsidRPr="00587BCF">
        <w:tab/>
        <w:t xml:space="preserve">sustaining student persistence in the computer-mediated asynchronous learning </w:t>
      </w:r>
      <w:r w:rsidRPr="00587BCF">
        <w:tab/>
      </w:r>
      <w:r w:rsidRPr="00587BCF">
        <w:tab/>
      </w:r>
      <w:r w:rsidRPr="00587BCF">
        <w:tab/>
        <w:t>environment.</w:t>
      </w:r>
      <w:proofErr w:type="gramEnd"/>
      <w:r w:rsidRPr="00587BCF">
        <w:t xml:space="preserve"> </w:t>
      </w:r>
      <w:proofErr w:type="gramStart"/>
      <w:r w:rsidRPr="00587BCF">
        <w:rPr>
          <w:i/>
        </w:rPr>
        <w:t>Online Journal of Distance Learning Administration, 8</w:t>
      </w:r>
      <w:r w:rsidRPr="00587BCF">
        <w:t>(3).</w:t>
      </w:r>
      <w:proofErr w:type="gramEnd"/>
      <w:r w:rsidRPr="00587BCF">
        <w:t xml:space="preserve"> </w:t>
      </w:r>
    </w:p>
    <w:p w:rsidR="00D00FF6" w:rsidRDefault="00D00FF6" w:rsidP="00D00FF6">
      <w:pPr>
        <w:spacing w:after="0" w:line="480" w:lineRule="auto"/>
      </w:pPr>
      <w:proofErr w:type="spellStart"/>
      <w:proofErr w:type="gramStart"/>
      <w:r>
        <w:t>Kanuka</w:t>
      </w:r>
      <w:proofErr w:type="spellEnd"/>
      <w:r>
        <w:t>, H., &amp; Garrison, D. R. (2004).</w:t>
      </w:r>
      <w:proofErr w:type="gramEnd"/>
      <w:r>
        <w:t xml:space="preserve"> </w:t>
      </w:r>
      <w:proofErr w:type="gramStart"/>
      <w:r>
        <w:t>Cognitive presence in online learning.</w:t>
      </w:r>
      <w:proofErr w:type="gramEnd"/>
      <w:r>
        <w:t xml:space="preserve"> </w:t>
      </w:r>
      <w:proofErr w:type="gramStart"/>
      <w:r>
        <w:rPr>
          <w:i/>
        </w:rPr>
        <w:t xml:space="preserve">Journal of </w:t>
      </w:r>
      <w:r>
        <w:rPr>
          <w:i/>
        </w:rPr>
        <w:tab/>
        <w:t>Computing in Higher Education, 15</w:t>
      </w:r>
      <w:r>
        <w:t>(2), 21-39.</w:t>
      </w:r>
      <w:proofErr w:type="gramEnd"/>
    </w:p>
    <w:p w:rsidR="00D00FF6" w:rsidRDefault="00D00FF6" w:rsidP="00D00FF6">
      <w:pPr>
        <w:spacing w:after="0" w:line="480" w:lineRule="auto"/>
      </w:pPr>
      <w:r>
        <w:t xml:space="preserve">Kim, J. (2011). </w:t>
      </w:r>
      <w:proofErr w:type="gramStart"/>
      <w:r>
        <w:t xml:space="preserve">Developing an instrument to measure social presence in distance higher </w:t>
      </w:r>
      <w:r>
        <w:tab/>
        <w:t>education.</w:t>
      </w:r>
      <w:proofErr w:type="gramEnd"/>
      <w:r>
        <w:t xml:space="preserve"> </w:t>
      </w:r>
      <w:r>
        <w:rPr>
          <w:i/>
        </w:rPr>
        <w:t>British Journal of Educational Technology, 42</w:t>
      </w:r>
      <w:r>
        <w:t xml:space="preserve">(5), 763-777.  </w:t>
      </w:r>
    </w:p>
    <w:p w:rsidR="00C55BEF" w:rsidRPr="00CB31D8" w:rsidRDefault="00C55BEF" w:rsidP="009A4597">
      <w:pPr>
        <w:tabs>
          <w:tab w:val="left" w:pos="284"/>
        </w:tabs>
        <w:spacing w:after="0" w:line="480" w:lineRule="auto"/>
        <w:rPr>
          <w:i/>
        </w:rPr>
      </w:pPr>
      <w:proofErr w:type="gramStart"/>
      <w:r>
        <w:t xml:space="preserve">Levy, </w:t>
      </w:r>
      <w:r w:rsidR="004D5017">
        <w:t>Y. (2007).</w:t>
      </w:r>
      <w:proofErr w:type="gramEnd"/>
      <w:r w:rsidR="004D5017">
        <w:t xml:space="preserve"> </w:t>
      </w:r>
      <w:proofErr w:type="gramStart"/>
      <w:r w:rsidR="00B43421">
        <w:t>Comparing dropouts and persistence in e-learning courses.</w:t>
      </w:r>
      <w:proofErr w:type="gramEnd"/>
      <w:r w:rsidR="00B43421">
        <w:t xml:space="preserve"> </w:t>
      </w:r>
      <w:r w:rsidR="00CB31D8">
        <w:rPr>
          <w:i/>
        </w:rPr>
        <w:t xml:space="preserve">Computers &amp; </w:t>
      </w:r>
      <w:r w:rsidR="00CB31D8">
        <w:rPr>
          <w:i/>
        </w:rPr>
        <w:tab/>
      </w:r>
      <w:r w:rsidR="00CB31D8">
        <w:rPr>
          <w:i/>
        </w:rPr>
        <w:tab/>
        <w:t xml:space="preserve">Education, 48, </w:t>
      </w:r>
      <w:r w:rsidR="00006B0D">
        <w:t>185-204.</w:t>
      </w:r>
      <w:r w:rsidR="00CB31D8">
        <w:rPr>
          <w:i/>
        </w:rPr>
        <w:t xml:space="preserve"> </w:t>
      </w:r>
    </w:p>
    <w:p w:rsidR="00D42B5B" w:rsidRDefault="00D42B5B" w:rsidP="009A4597">
      <w:pPr>
        <w:tabs>
          <w:tab w:val="left" w:pos="284"/>
        </w:tabs>
        <w:spacing w:after="0" w:line="480" w:lineRule="auto"/>
      </w:pPr>
      <w:r w:rsidRPr="00587BCF">
        <w:lastRenderedPageBreak/>
        <w:t xml:space="preserve">Lloyd, S. A., Byrne, M. M., &amp; McCoy, T. S. (2012). </w:t>
      </w:r>
      <w:proofErr w:type="gramStart"/>
      <w:r w:rsidRPr="00587BCF">
        <w:t xml:space="preserve">Faculty-perceived barriers of online </w:t>
      </w:r>
      <w:r w:rsidRPr="00587BCF">
        <w:tab/>
      </w:r>
      <w:r w:rsidRPr="00587BCF">
        <w:tab/>
        <w:t>education.</w:t>
      </w:r>
      <w:proofErr w:type="gramEnd"/>
      <w:r w:rsidRPr="00587BCF">
        <w:t xml:space="preserve"> </w:t>
      </w:r>
      <w:r w:rsidRPr="00587BCF">
        <w:rPr>
          <w:i/>
        </w:rPr>
        <w:t>MERLOT Journal of Online Learning and Teaching, 8</w:t>
      </w:r>
      <w:r w:rsidRPr="00587BCF">
        <w:t>(1), 1-12.</w:t>
      </w:r>
    </w:p>
    <w:p w:rsidR="00D42B5B" w:rsidRDefault="00D42B5B" w:rsidP="00D010A0">
      <w:pPr>
        <w:spacing w:after="0" w:line="480" w:lineRule="auto"/>
      </w:pPr>
      <w:r>
        <w:t>McCabe, N. (1995). Twelve high school 11</w:t>
      </w:r>
      <w:r w:rsidRPr="00EF3E8C">
        <w:rPr>
          <w:vertAlign w:val="superscript"/>
        </w:rPr>
        <w:t>th</w:t>
      </w:r>
      <w:r>
        <w:t xml:space="preserve"> grade students examine their best teachers. </w:t>
      </w:r>
      <w:r>
        <w:tab/>
      </w:r>
      <w:r>
        <w:rPr>
          <w:i/>
        </w:rPr>
        <w:t xml:space="preserve">Peabody Journal of Education, 70, </w:t>
      </w:r>
      <w:r>
        <w:t>117-126.</w:t>
      </w:r>
    </w:p>
    <w:p w:rsidR="00D42B5B" w:rsidRDefault="00D42B5B" w:rsidP="00D010A0">
      <w:pPr>
        <w:tabs>
          <w:tab w:val="left" w:pos="284"/>
        </w:tabs>
        <w:spacing w:after="0" w:line="480" w:lineRule="auto"/>
      </w:pPr>
      <w:proofErr w:type="spellStart"/>
      <w:proofErr w:type="gramStart"/>
      <w:r w:rsidRPr="00587BCF">
        <w:t>Müller</w:t>
      </w:r>
      <w:proofErr w:type="spellEnd"/>
      <w:r w:rsidRPr="00587BCF">
        <w:t>, T. (2008).</w:t>
      </w:r>
      <w:proofErr w:type="gramEnd"/>
      <w:r w:rsidRPr="00587BCF">
        <w:t xml:space="preserve"> </w:t>
      </w:r>
      <w:proofErr w:type="gramStart"/>
      <w:r w:rsidRPr="00587BCF">
        <w:t>Persistence of</w:t>
      </w:r>
      <w:r>
        <w:t xml:space="preserve"> women in online degree completion programs.</w:t>
      </w:r>
      <w:proofErr w:type="gramEnd"/>
      <w:r>
        <w:t xml:space="preserve"> </w:t>
      </w:r>
      <w:r>
        <w:rPr>
          <w:i/>
        </w:rPr>
        <w:t xml:space="preserve">International </w:t>
      </w:r>
      <w:r>
        <w:rPr>
          <w:i/>
        </w:rPr>
        <w:tab/>
      </w:r>
      <w:r>
        <w:rPr>
          <w:i/>
        </w:rPr>
        <w:tab/>
        <w:t xml:space="preserve">Review of Research in </w:t>
      </w:r>
      <w:proofErr w:type="gramStart"/>
      <w:r>
        <w:rPr>
          <w:i/>
        </w:rPr>
        <w:t>Open  and</w:t>
      </w:r>
      <w:proofErr w:type="gramEnd"/>
      <w:r>
        <w:rPr>
          <w:i/>
        </w:rPr>
        <w:t xml:space="preserve"> Distance Learning, 9</w:t>
      </w:r>
      <w:r>
        <w:t>(2), 1-18.</w:t>
      </w:r>
    </w:p>
    <w:p w:rsidR="00D42B5B" w:rsidRDefault="00D42B5B" w:rsidP="00D010A0">
      <w:pPr>
        <w:spacing w:after="0" w:line="480" w:lineRule="auto"/>
      </w:pPr>
      <w:proofErr w:type="gramStart"/>
      <w:r>
        <w:t xml:space="preserve">Myers, R. E. III., &amp; </w:t>
      </w:r>
      <w:proofErr w:type="spellStart"/>
      <w:r>
        <w:t>Fouts</w:t>
      </w:r>
      <w:proofErr w:type="spellEnd"/>
      <w:r>
        <w:t>, J. T. (1992).</w:t>
      </w:r>
      <w:proofErr w:type="gramEnd"/>
      <w:r>
        <w:t xml:space="preserve"> </w:t>
      </w:r>
      <w:proofErr w:type="gramStart"/>
      <w:r>
        <w:t xml:space="preserve">A cluster analysis of high school science classroom </w:t>
      </w:r>
      <w:r>
        <w:tab/>
        <w:t>environments and attitude toward science.</w:t>
      </w:r>
      <w:proofErr w:type="gramEnd"/>
      <w:r>
        <w:t xml:space="preserve"> </w:t>
      </w:r>
      <w:r>
        <w:rPr>
          <w:i/>
        </w:rPr>
        <w:t xml:space="preserve">Journal of Research in Science Teaching, </w:t>
      </w:r>
      <w:r>
        <w:rPr>
          <w:i/>
        </w:rPr>
        <w:tab/>
        <w:t>29</w:t>
      </w:r>
      <w:r>
        <w:t>(9), 929-937.</w:t>
      </w:r>
      <w:r>
        <w:rPr>
          <w:i/>
        </w:rPr>
        <w:t xml:space="preserve"> </w:t>
      </w:r>
    </w:p>
    <w:p w:rsidR="00D42B5B" w:rsidRDefault="00D42B5B" w:rsidP="00D010A0">
      <w:pPr>
        <w:tabs>
          <w:tab w:val="left" w:pos="284"/>
        </w:tabs>
        <w:spacing w:after="0" w:line="480" w:lineRule="auto"/>
      </w:pPr>
      <w:proofErr w:type="spellStart"/>
      <w:r>
        <w:t>Ojokheta</w:t>
      </w:r>
      <w:proofErr w:type="spellEnd"/>
      <w:r>
        <w:t xml:space="preserve">, K. O. (2010). A path-analytic study of some correlates predicting persistence and </w:t>
      </w:r>
      <w:r>
        <w:tab/>
      </w:r>
      <w:r>
        <w:tab/>
        <w:t xml:space="preserve">students` success in distance education in Nigeria. </w:t>
      </w:r>
      <w:r>
        <w:rPr>
          <w:i/>
        </w:rPr>
        <w:t xml:space="preserve">Turkish Online Journal of Distance </w:t>
      </w:r>
      <w:r>
        <w:rPr>
          <w:i/>
        </w:rPr>
        <w:tab/>
      </w:r>
      <w:r>
        <w:rPr>
          <w:i/>
        </w:rPr>
        <w:tab/>
        <w:t>Education, 11</w:t>
      </w:r>
      <w:r>
        <w:t>(1), 181-192.</w:t>
      </w:r>
      <w:r>
        <w:rPr>
          <w:i/>
        </w:rPr>
        <w:t xml:space="preserve"> </w:t>
      </w:r>
      <w:r>
        <w:t xml:space="preserve"> </w:t>
      </w:r>
    </w:p>
    <w:p w:rsidR="00D42B5B" w:rsidRDefault="00D42B5B" w:rsidP="00D010A0">
      <w:pPr>
        <w:tabs>
          <w:tab w:val="left" w:pos="284"/>
        </w:tabs>
        <w:spacing w:after="0" w:line="480" w:lineRule="auto"/>
      </w:pPr>
      <w:proofErr w:type="gramStart"/>
      <w:r w:rsidRPr="00587BCF">
        <w:t>Parker, A. (2003).</w:t>
      </w:r>
      <w:proofErr w:type="gramEnd"/>
      <w:r w:rsidRPr="00587BCF">
        <w:t xml:space="preserve"> </w:t>
      </w:r>
      <w:proofErr w:type="gramStart"/>
      <w:r w:rsidRPr="00587BCF">
        <w:t>Identifying predictors of academic persistence in distance education.</w:t>
      </w:r>
      <w:proofErr w:type="gramEnd"/>
      <w:r w:rsidRPr="00587BCF">
        <w:t xml:space="preserve"> </w:t>
      </w:r>
      <w:r w:rsidRPr="00587BCF">
        <w:tab/>
      </w:r>
      <w:r w:rsidRPr="00587BCF">
        <w:tab/>
      </w:r>
      <w:r w:rsidRPr="00587BCF">
        <w:tab/>
      </w:r>
      <w:r w:rsidRPr="00587BCF">
        <w:rPr>
          <w:i/>
        </w:rPr>
        <w:t>USDLA Journal, 17</w:t>
      </w:r>
      <w:r w:rsidRPr="00587BCF">
        <w:t>(1), 55-62.</w:t>
      </w:r>
    </w:p>
    <w:p w:rsidR="00E1650B" w:rsidRDefault="00E1650B" w:rsidP="00D00FF6">
      <w:pPr>
        <w:spacing w:after="0" w:line="480" w:lineRule="auto"/>
      </w:pPr>
      <w:proofErr w:type="spellStart"/>
      <w:r>
        <w:t>Pallant</w:t>
      </w:r>
      <w:proofErr w:type="spellEnd"/>
      <w:r>
        <w:t xml:space="preserve">, J. (2007). </w:t>
      </w:r>
      <w:r w:rsidR="003A04A9" w:rsidRPr="006F6C68">
        <w:rPr>
          <w:i/>
        </w:rPr>
        <w:t xml:space="preserve">SPSS survival manual: A step by step guide to data analysis using SPSS </w:t>
      </w:r>
      <w:r w:rsidR="003A04A9" w:rsidRPr="006F6C68">
        <w:rPr>
          <w:i/>
        </w:rPr>
        <w:tab/>
        <w:t xml:space="preserve">for Windows </w:t>
      </w:r>
      <w:r w:rsidR="003A04A9">
        <w:t xml:space="preserve">(3rd </w:t>
      </w:r>
      <w:proofErr w:type="gramStart"/>
      <w:r w:rsidR="003A04A9">
        <w:t>ed</w:t>
      </w:r>
      <w:proofErr w:type="gramEnd"/>
      <w:r w:rsidR="003A04A9">
        <w:t xml:space="preserve">.). </w:t>
      </w:r>
      <w:r w:rsidR="006F6C68">
        <w:t>Maidenhead: Open University Press.</w:t>
      </w:r>
    </w:p>
    <w:p w:rsidR="007802F1" w:rsidRPr="00D90640" w:rsidRDefault="007802F1" w:rsidP="00D00FF6">
      <w:pPr>
        <w:spacing w:after="0" w:line="480" w:lineRule="auto"/>
      </w:pPr>
      <w:r>
        <w:t xml:space="preserve">Park, J. –H., </w:t>
      </w:r>
      <w:r w:rsidR="005909DB">
        <w:t xml:space="preserve">&amp; </w:t>
      </w:r>
      <w:proofErr w:type="spellStart"/>
      <w:r w:rsidR="00403739">
        <w:t>Choi</w:t>
      </w:r>
      <w:proofErr w:type="spellEnd"/>
      <w:r w:rsidR="00403739">
        <w:t xml:space="preserve">, H. J. (2009). </w:t>
      </w:r>
      <w:proofErr w:type="gramStart"/>
      <w:r w:rsidR="002602A1">
        <w:t xml:space="preserve">Factors influencing </w:t>
      </w:r>
      <w:r w:rsidR="004B3C46">
        <w:t xml:space="preserve">adult learners` decision to drop out or </w:t>
      </w:r>
      <w:r w:rsidR="004B3C46">
        <w:tab/>
        <w:t xml:space="preserve">persist in </w:t>
      </w:r>
      <w:r w:rsidR="00816BAA">
        <w:t>online learning.</w:t>
      </w:r>
      <w:proofErr w:type="gramEnd"/>
      <w:r w:rsidR="00816BAA">
        <w:t xml:space="preserve"> </w:t>
      </w:r>
      <w:r w:rsidR="00D90640">
        <w:rPr>
          <w:i/>
        </w:rPr>
        <w:t>Educational Technology &amp; Society, 12</w:t>
      </w:r>
      <w:r w:rsidR="00D90640">
        <w:t xml:space="preserve">(4), </w:t>
      </w:r>
      <w:r w:rsidR="009A2A43">
        <w:t>207-217.</w:t>
      </w:r>
    </w:p>
    <w:p w:rsidR="00D00FF6" w:rsidRPr="00587BCF" w:rsidRDefault="00D00FF6" w:rsidP="00D00FF6">
      <w:pPr>
        <w:spacing w:after="0" w:line="480" w:lineRule="auto"/>
      </w:pPr>
      <w:r>
        <w:t xml:space="preserve">Redmond, P. (2011). </w:t>
      </w:r>
      <w:proofErr w:type="gramStart"/>
      <w:r>
        <w:t xml:space="preserve">Exploring teaching and cognitive presence in blended learning: </w:t>
      </w:r>
      <w:r>
        <w:tab/>
        <w:t>promoting pre-service teachers` critical thinking.</w:t>
      </w:r>
      <w:proofErr w:type="gramEnd"/>
      <w:r>
        <w:t xml:space="preserve"> </w:t>
      </w:r>
      <w:proofErr w:type="gramStart"/>
      <w:r>
        <w:t xml:space="preserve">Unpublished doctoral dissertation, </w:t>
      </w:r>
      <w:r>
        <w:tab/>
        <w:t>University of Southern Queensland, Australia.</w:t>
      </w:r>
      <w:proofErr w:type="gramEnd"/>
      <w:r>
        <w:t xml:space="preserve"> Retrieved from </w:t>
      </w:r>
      <w:r w:rsidRPr="00EE1454">
        <w:t>http://eprints.usq.edu</w:t>
      </w:r>
      <w:r>
        <w:tab/>
      </w:r>
      <w:r w:rsidRPr="00EE1454">
        <w:t>.au</w:t>
      </w:r>
      <w:r>
        <w:t>/19583/1/Redmond_2011_front.pdf</w:t>
      </w:r>
    </w:p>
    <w:p w:rsidR="002132CE" w:rsidRDefault="00D42B5B" w:rsidP="00D010A0">
      <w:pPr>
        <w:tabs>
          <w:tab w:val="left" w:pos="284"/>
        </w:tabs>
        <w:spacing w:after="0" w:line="480" w:lineRule="auto"/>
      </w:pPr>
      <w:proofErr w:type="gramStart"/>
      <w:r>
        <w:t>Richardson, J. C., &amp; Swan, K. (2003).</w:t>
      </w:r>
      <w:proofErr w:type="gramEnd"/>
      <w:r>
        <w:t xml:space="preserve"> </w:t>
      </w:r>
      <w:proofErr w:type="gramStart"/>
      <w:r>
        <w:t xml:space="preserve">Examining social presence in online courses in relation </w:t>
      </w:r>
      <w:r>
        <w:tab/>
      </w:r>
      <w:r>
        <w:tab/>
        <w:t>to students` perceived learning and satisfaction.</w:t>
      </w:r>
      <w:proofErr w:type="gramEnd"/>
    </w:p>
    <w:p w:rsidR="00D42B5B" w:rsidRDefault="002132CE" w:rsidP="00B166FA">
      <w:pPr>
        <w:tabs>
          <w:tab w:val="left" w:pos="284"/>
          <w:tab w:val="left" w:pos="567"/>
        </w:tabs>
        <w:spacing w:after="0" w:line="480" w:lineRule="auto"/>
      </w:pPr>
      <w:proofErr w:type="gramStart"/>
      <w:r>
        <w:lastRenderedPageBreak/>
        <w:t xml:space="preserve">Richardson, J. C., </w:t>
      </w:r>
      <w:proofErr w:type="spellStart"/>
      <w:r>
        <w:t>Kozan</w:t>
      </w:r>
      <w:proofErr w:type="spellEnd"/>
      <w:r>
        <w:t xml:space="preserve">, K., </w:t>
      </w:r>
      <w:proofErr w:type="spellStart"/>
      <w:r>
        <w:t>Mutlu</w:t>
      </w:r>
      <w:proofErr w:type="spellEnd"/>
      <w:r>
        <w:t xml:space="preserve">, N., &amp; </w:t>
      </w:r>
      <w:proofErr w:type="spellStart"/>
      <w:r>
        <w:t>Taeho</w:t>
      </w:r>
      <w:proofErr w:type="spellEnd"/>
      <w:r>
        <w:t xml:space="preserve"> Yu, N. (2013).</w:t>
      </w:r>
      <w:proofErr w:type="gramEnd"/>
      <w:r>
        <w:t xml:space="preserve"> </w:t>
      </w:r>
      <w:proofErr w:type="gramStart"/>
      <w:r w:rsidR="00B166FA" w:rsidRPr="00B166FA">
        <w:t xml:space="preserve">On the relationships </w:t>
      </w:r>
      <w:r w:rsidR="00B166FA">
        <w:tab/>
      </w:r>
      <w:r w:rsidR="00B166FA">
        <w:tab/>
      </w:r>
      <w:r w:rsidR="00B166FA">
        <w:tab/>
      </w:r>
      <w:r w:rsidR="00B166FA" w:rsidRPr="00B166FA">
        <w:t xml:space="preserve">between and </w:t>
      </w:r>
      <w:r w:rsidR="00B166FA">
        <w:t xml:space="preserve">among teaching </w:t>
      </w:r>
      <w:r w:rsidR="00B166FA" w:rsidRPr="00B166FA">
        <w:t>presence, social presence, and cognitive presence.</w:t>
      </w:r>
      <w:proofErr w:type="gramEnd"/>
      <w:r w:rsidR="00B166FA" w:rsidRPr="00B166FA">
        <w:t xml:space="preserve"> </w:t>
      </w:r>
      <w:r w:rsidR="00B166FA" w:rsidRPr="00B166FA">
        <w:rPr>
          <w:i/>
        </w:rPr>
        <w:t xml:space="preserve">Poster </w:t>
      </w:r>
      <w:r w:rsidR="00B166FA">
        <w:rPr>
          <w:i/>
        </w:rPr>
        <w:tab/>
      </w:r>
      <w:r w:rsidR="00B166FA">
        <w:rPr>
          <w:i/>
        </w:rPr>
        <w:tab/>
        <w:t xml:space="preserve">accepted to be </w:t>
      </w:r>
      <w:r w:rsidR="00B166FA" w:rsidRPr="00B166FA">
        <w:rPr>
          <w:i/>
        </w:rPr>
        <w:t xml:space="preserve">presented at AERA 2013, April 27-May 1, </w:t>
      </w:r>
      <w:r w:rsidR="00B166FA" w:rsidRPr="00B166FA">
        <w:t xml:space="preserve">San Francisco, California, </w:t>
      </w:r>
      <w:r w:rsidR="00B166FA">
        <w:tab/>
      </w:r>
      <w:r w:rsidR="00B166FA">
        <w:tab/>
      </w:r>
      <w:r w:rsidR="00B166FA" w:rsidRPr="00B166FA">
        <w:t xml:space="preserve">USA. </w:t>
      </w:r>
    </w:p>
    <w:p w:rsidR="00F03E50" w:rsidRDefault="00D00FF6" w:rsidP="00F03E50">
      <w:pPr>
        <w:spacing w:after="0" w:line="480" w:lineRule="auto"/>
      </w:pPr>
      <w:proofErr w:type="spellStart"/>
      <w:proofErr w:type="gramStart"/>
      <w:r>
        <w:t>Rourke</w:t>
      </w:r>
      <w:proofErr w:type="spellEnd"/>
      <w:r>
        <w:t>, L., Anderson, T., Garrison, D. R., Archer, W. (1999).</w:t>
      </w:r>
      <w:proofErr w:type="gramEnd"/>
      <w:r>
        <w:t xml:space="preserve"> </w:t>
      </w:r>
      <w:proofErr w:type="gramStart"/>
      <w:r>
        <w:t xml:space="preserve">Assessing social presence in </w:t>
      </w:r>
      <w:r>
        <w:tab/>
        <w:t>asynchronous text-based computer conferencing.</w:t>
      </w:r>
      <w:proofErr w:type="gramEnd"/>
      <w:r>
        <w:t xml:space="preserve"> </w:t>
      </w:r>
      <w:r>
        <w:rPr>
          <w:i/>
        </w:rPr>
        <w:t xml:space="preserve">Journal of Distance Education, </w:t>
      </w:r>
      <w:r>
        <w:rPr>
          <w:i/>
        </w:rPr>
        <w:tab/>
        <w:t>14</w:t>
      </w:r>
      <w:r>
        <w:t xml:space="preserve">(2), 50-71.  </w:t>
      </w:r>
    </w:p>
    <w:p w:rsidR="00BE30CE" w:rsidRDefault="00BE30CE" w:rsidP="00F03E50">
      <w:pPr>
        <w:spacing w:after="0" w:line="480" w:lineRule="auto"/>
      </w:pPr>
      <w:proofErr w:type="spellStart"/>
      <w:proofErr w:type="gramStart"/>
      <w:r>
        <w:t>Rourke</w:t>
      </w:r>
      <w:proofErr w:type="spellEnd"/>
      <w:r>
        <w:t xml:space="preserve">, </w:t>
      </w:r>
      <w:r w:rsidR="00361076">
        <w:t xml:space="preserve">L., </w:t>
      </w:r>
      <w:r>
        <w:t xml:space="preserve">Anderson, </w:t>
      </w:r>
      <w:r w:rsidR="00361076">
        <w:t xml:space="preserve">T., </w:t>
      </w:r>
      <w:r>
        <w:t xml:space="preserve">Garrison, </w:t>
      </w:r>
      <w:r w:rsidR="00361076">
        <w:t>D. R., &amp;</w:t>
      </w:r>
      <w:r>
        <w:t xml:space="preserve"> Archer</w:t>
      </w:r>
      <w:r w:rsidR="00361076">
        <w:t>, W.</w:t>
      </w:r>
      <w:r>
        <w:t xml:space="preserve"> (2001).</w:t>
      </w:r>
      <w:proofErr w:type="gramEnd"/>
      <w:r w:rsidR="00361076">
        <w:t xml:space="preserve"> Methodological issues in the </w:t>
      </w:r>
      <w:r w:rsidR="00361076">
        <w:tab/>
        <w:t xml:space="preserve">content analysis of computer conference transcripts. </w:t>
      </w:r>
      <w:r w:rsidR="00361076">
        <w:rPr>
          <w:i/>
        </w:rPr>
        <w:t xml:space="preserve">International Journal of Artificial </w:t>
      </w:r>
      <w:r w:rsidR="00361076">
        <w:rPr>
          <w:i/>
        </w:rPr>
        <w:tab/>
        <w:t xml:space="preserve">Intelligence in Education, 12, </w:t>
      </w:r>
      <w:r w:rsidR="00361076">
        <w:t>8-22.</w:t>
      </w:r>
      <w:r w:rsidR="00A811E0">
        <w:t xml:space="preserve"> </w:t>
      </w:r>
      <w:r w:rsidR="00F03E50">
        <w:t xml:space="preserve"> </w:t>
      </w:r>
      <w:r>
        <w:t xml:space="preserve"> </w:t>
      </w:r>
    </w:p>
    <w:p w:rsidR="00D00FF6" w:rsidRDefault="00D00FF6" w:rsidP="00D00FF6">
      <w:pPr>
        <w:spacing w:after="0" w:line="480" w:lineRule="auto"/>
      </w:pPr>
      <w:proofErr w:type="gramStart"/>
      <w:r>
        <w:t>Swan, K. &amp; Shih, L. F. (2005).</w:t>
      </w:r>
      <w:proofErr w:type="gramEnd"/>
      <w:r>
        <w:t xml:space="preserve"> </w:t>
      </w:r>
      <w:proofErr w:type="gramStart"/>
      <w:r>
        <w:t xml:space="preserve">On the nature and development of social presence in online </w:t>
      </w:r>
      <w:r>
        <w:tab/>
        <w:t>course discussions.</w:t>
      </w:r>
      <w:proofErr w:type="gramEnd"/>
      <w:r>
        <w:t xml:space="preserve"> </w:t>
      </w:r>
      <w:r>
        <w:rPr>
          <w:i/>
        </w:rPr>
        <w:t>Journal of Asynchronous Learning Networks, 9</w:t>
      </w:r>
      <w:r>
        <w:t>(3), 115-136.</w:t>
      </w:r>
      <w:r w:rsidRPr="00563C54">
        <w:t xml:space="preserve"> </w:t>
      </w:r>
    </w:p>
    <w:p w:rsidR="00D42B5B" w:rsidRDefault="00D42B5B" w:rsidP="00D010A0">
      <w:pPr>
        <w:spacing w:after="0" w:line="480" w:lineRule="auto"/>
      </w:pPr>
      <w:proofErr w:type="spellStart"/>
      <w:proofErr w:type="gramStart"/>
      <w:r>
        <w:t>Volkman</w:t>
      </w:r>
      <w:proofErr w:type="spellEnd"/>
      <w:r>
        <w:t xml:space="preserve">, M. J., &amp; </w:t>
      </w:r>
      <w:proofErr w:type="spellStart"/>
      <w:r>
        <w:t>Zgagacz</w:t>
      </w:r>
      <w:proofErr w:type="spellEnd"/>
      <w:r>
        <w:t>, M. (2004).</w:t>
      </w:r>
      <w:proofErr w:type="gramEnd"/>
      <w:r>
        <w:t xml:space="preserve"> </w:t>
      </w:r>
      <w:proofErr w:type="gramStart"/>
      <w:r>
        <w:t xml:space="preserve">Learning to teach physics through inquiry: The lived </w:t>
      </w:r>
      <w:r>
        <w:tab/>
        <w:t>experience of a graduate teaching assistant.</w:t>
      </w:r>
      <w:proofErr w:type="gramEnd"/>
      <w:r>
        <w:t xml:space="preserve"> </w:t>
      </w:r>
      <w:r>
        <w:rPr>
          <w:i/>
        </w:rPr>
        <w:t xml:space="preserve">Journal of Research in Science Teaching, </w:t>
      </w:r>
      <w:r>
        <w:rPr>
          <w:i/>
        </w:rPr>
        <w:tab/>
        <w:t>41</w:t>
      </w:r>
      <w:r>
        <w:t>(6), 584-602.</w:t>
      </w:r>
    </w:p>
    <w:p w:rsidR="00BE2D7D" w:rsidRDefault="00D42B5B" w:rsidP="00BE2D7D">
      <w:pPr>
        <w:spacing w:after="0" w:line="480" w:lineRule="auto"/>
      </w:pPr>
      <w:proofErr w:type="spellStart"/>
      <w:proofErr w:type="gramStart"/>
      <w:r>
        <w:t>Walczyk</w:t>
      </w:r>
      <w:proofErr w:type="spellEnd"/>
      <w:r>
        <w:t>, J. J., &amp; Ramsey, L. L. (2003).</w:t>
      </w:r>
      <w:proofErr w:type="gramEnd"/>
      <w:r>
        <w:t xml:space="preserve"> </w:t>
      </w:r>
      <w:proofErr w:type="gramStart"/>
      <w:r>
        <w:t xml:space="preserve">Use of learner-centered instruction in college science </w:t>
      </w:r>
      <w:r>
        <w:tab/>
        <w:t>and mathematics classrooms.</w:t>
      </w:r>
      <w:proofErr w:type="gramEnd"/>
      <w:r>
        <w:t xml:space="preserve"> </w:t>
      </w:r>
      <w:proofErr w:type="gramStart"/>
      <w:r>
        <w:rPr>
          <w:i/>
        </w:rPr>
        <w:t>Journal of Research in Science Teaching, 40</w:t>
      </w:r>
      <w:r>
        <w:t>(6), 566-</w:t>
      </w:r>
      <w:r>
        <w:tab/>
        <w:t>584.</w:t>
      </w:r>
      <w:proofErr w:type="gramEnd"/>
      <w:r>
        <w:t xml:space="preserve"> </w:t>
      </w:r>
    </w:p>
    <w:p w:rsidR="003D5F83" w:rsidRPr="004E0FD7" w:rsidRDefault="00D42B5B" w:rsidP="003C67E8">
      <w:pPr>
        <w:spacing w:after="0" w:line="480" w:lineRule="auto"/>
      </w:pPr>
      <w:proofErr w:type="gramStart"/>
      <w:r w:rsidRPr="00587BCF">
        <w:t>Wilson, M. (2008).</w:t>
      </w:r>
      <w:proofErr w:type="gramEnd"/>
      <w:r w:rsidRPr="00587BCF">
        <w:t xml:space="preserve"> </w:t>
      </w:r>
      <w:proofErr w:type="gramStart"/>
      <w:r w:rsidRPr="00587BCF">
        <w:t>An investigation into the perceptions of fi</w:t>
      </w:r>
      <w:r w:rsidR="00BE2D7D">
        <w:t xml:space="preserve">rst-time online undergraduate </w:t>
      </w:r>
      <w:r w:rsidR="00BE2D7D">
        <w:tab/>
      </w:r>
      <w:r w:rsidRPr="00587BCF">
        <w:t>learners on orientation events.</w:t>
      </w:r>
      <w:proofErr w:type="gramEnd"/>
      <w:r w:rsidRPr="00587BCF">
        <w:t xml:space="preserve"> </w:t>
      </w:r>
      <w:r w:rsidRPr="00587BCF">
        <w:rPr>
          <w:i/>
        </w:rPr>
        <w:t xml:space="preserve">MERLOT Journal of Online Learning and </w:t>
      </w:r>
      <w:r w:rsidR="00BE2D7D">
        <w:rPr>
          <w:i/>
        </w:rPr>
        <w:tab/>
      </w:r>
      <w:r w:rsidR="00BE2D7D">
        <w:rPr>
          <w:i/>
        </w:rPr>
        <w:tab/>
        <w:t xml:space="preserve">Teaching, </w:t>
      </w:r>
      <w:r w:rsidRPr="00587BCF">
        <w:rPr>
          <w:i/>
        </w:rPr>
        <w:t>4</w:t>
      </w:r>
      <w:r w:rsidRPr="00587BCF">
        <w:t>(1), 73-83.</w:t>
      </w:r>
    </w:p>
    <w:sectPr w:rsidR="003D5F83" w:rsidRPr="004E0FD7" w:rsidSect="00055648">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7A" w:rsidRDefault="006A3D7A" w:rsidP="00EA54C9">
      <w:pPr>
        <w:spacing w:after="0" w:line="240" w:lineRule="auto"/>
      </w:pPr>
      <w:r>
        <w:separator/>
      </w:r>
    </w:p>
  </w:endnote>
  <w:endnote w:type="continuationSeparator" w:id="0">
    <w:p w:rsidR="006A3D7A" w:rsidRDefault="006A3D7A" w:rsidP="00EA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7A" w:rsidRDefault="006A3D7A" w:rsidP="00EA54C9">
      <w:pPr>
        <w:spacing w:after="0" w:line="240" w:lineRule="auto"/>
      </w:pPr>
      <w:r>
        <w:separator/>
      </w:r>
    </w:p>
  </w:footnote>
  <w:footnote w:type="continuationSeparator" w:id="0">
    <w:p w:rsidR="006A3D7A" w:rsidRDefault="006A3D7A" w:rsidP="00EA5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70" w:rsidRDefault="002E3887" w:rsidP="00173CC9">
    <w:pPr>
      <w:pStyle w:val="stbilgi"/>
    </w:pPr>
    <w:r>
      <w:t>STUDENT TEACHING PRESENCE</w:t>
    </w:r>
    <w:r w:rsidR="00EE7670">
      <w:t xml:space="preserve">                                                                                </w:t>
    </w:r>
    <w:sdt>
      <w:sdtPr>
        <w:id w:val="5650455"/>
        <w:docPartObj>
          <w:docPartGallery w:val="Page Numbers (Top of Page)"/>
          <w:docPartUnique/>
        </w:docPartObj>
      </w:sdtPr>
      <w:sdtContent>
        <w:fldSimple w:instr=" PAGE   \* MERGEFORMAT ">
          <w:r w:rsidR="00BA506B">
            <w:rPr>
              <w:noProof/>
            </w:rPr>
            <w:t>17</w:t>
          </w:r>
        </w:fldSimple>
      </w:sdtContent>
    </w:sdt>
  </w:p>
  <w:p w:rsidR="00EE7670" w:rsidRDefault="00EE76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70" w:rsidRPr="00D5714F" w:rsidRDefault="00EE7670" w:rsidP="008C5CEA">
    <w:pPr>
      <w:pStyle w:val="stbilgi"/>
    </w:pPr>
    <w:r>
      <w:t>Running h</w:t>
    </w:r>
    <w:r w:rsidRPr="00D5714F">
      <w:t>ead</w:t>
    </w:r>
    <w:r w:rsidRPr="00BD1ED0">
      <w:t xml:space="preserve">: </w:t>
    </w:r>
    <w:r w:rsidR="00BD1ED0">
      <w:t>STUDENT TEACHING PRESENCE</w:t>
    </w:r>
    <w:r>
      <w:t xml:space="preserve">                                                    </w:t>
    </w:r>
    <w:r w:rsidR="00BD1ED0">
      <w:t xml:space="preserve">         </w:t>
    </w:r>
    <w:r>
      <w:t xml:space="preserve">  </w:t>
    </w:r>
    <w:sdt>
      <w:sdtPr>
        <w:id w:val="5650453"/>
        <w:docPartObj>
          <w:docPartGallery w:val="Page Numbers (Top of Page)"/>
          <w:docPartUnique/>
        </w:docPartObj>
      </w:sdtPr>
      <w:sdtContent>
        <w:fldSimple w:instr=" PAGE   \* MERGEFORMAT ">
          <w:r w:rsidR="00BA506B">
            <w:rPr>
              <w:noProof/>
            </w:rPr>
            <w:t>1</w:t>
          </w:r>
        </w:fldSimple>
      </w:sdtContent>
    </w:sdt>
  </w:p>
  <w:p w:rsidR="00EE7670" w:rsidRDefault="00EE76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3A1"/>
    <w:multiLevelType w:val="hybridMultilevel"/>
    <w:tmpl w:val="63647B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B154810"/>
    <w:multiLevelType w:val="hybridMultilevel"/>
    <w:tmpl w:val="4D344B70"/>
    <w:lvl w:ilvl="0" w:tplc="041F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51B516D"/>
    <w:multiLevelType w:val="hybridMultilevel"/>
    <w:tmpl w:val="E37E0EE6"/>
    <w:lvl w:ilvl="0" w:tplc="DE3A13D6">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5FB4DE1"/>
    <w:multiLevelType w:val="hybridMultilevel"/>
    <w:tmpl w:val="DB62DC2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8610C"/>
    <w:multiLevelType w:val="hybridMultilevel"/>
    <w:tmpl w:val="B5BEC02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074B2"/>
    <w:multiLevelType w:val="hybridMultilevel"/>
    <w:tmpl w:val="50EA769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666F"/>
    <w:rsid w:val="000001F5"/>
    <w:rsid w:val="00000D6D"/>
    <w:rsid w:val="00001FDB"/>
    <w:rsid w:val="0000208F"/>
    <w:rsid w:val="00002DFC"/>
    <w:rsid w:val="000034CE"/>
    <w:rsid w:val="000038CD"/>
    <w:rsid w:val="0000455F"/>
    <w:rsid w:val="00004D4E"/>
    <w:rsid w:val="00005430"/>
    <w:rsid w:val="00005546"/>
    <w:rsid w:val="00005A1A"/>
    <w:rsid w:val="00006397"/>
    <w:rsid w:val="000065FC"/>
    <w:rsid w:val="00006A7E"/>
    <w:rsid w:val="00006B0D"/>
    <w:rsid w:val="00007FAF"/>
    <w:rsid w:val="000108B1"/>
    <w:rsid w:val="00010B58"/>
    <w:rsid w:val="00011641"/>
    <w:rsid w:val="00011685"/>
    <w:rsid w:val="00011710"/>
    <w:rsid w:val="00011C87"/>
    <w:rsid w:val="000139B5"/>
    <w:rsid w:val="00013F00"/>
    <w:rsid w:val="00013F87"/>
    <w:rsid w:val="00013FE4"/>
    <w:rsid w:val="00014046"/>
    <w:rsid w:val="00014F30"/>
    <w:rsid w:val="0001517F"/>
    <w:rsid w:val="0001573A"/>
    <w:rsid w:val="00015B69"/>
    <w:rsid w:val="0001621C"/>
    <w:rsid w:val="00016415"/>
    <w:rsid w:val="0001689F"/>
    <w:rsid w:val="00016E42"/>
    <w:rsid w:val="00020920"/>
    <w:rsid w:val="00020C93"/>
    <w:rsid w:val="00020E0E"/>
    <w:rsid w:val="000217A1"/>
    <w:rsid w:val="00022184"/>
    <w:rsid w:val="000225B8"/>
    <w:rsid w:val="00022816"/>
    <w:rsid w:val="00023479"/>
    <w:rsid w:val="0002375E"/>
    <w:rsid w:val="000240B1"/>
    <w:rsid w:val="000243B1"/>
    <w:rsid w:val="000243D8"/>
    <w:rsid w:val="00024624"/>
    <w:rsid w:val="000249D3"/>
    <w:rsid w:val="00024C67"/>
    <w:rsid w:val="00024ED1"/>
    <w:rsid w:val="00025445"/>
    <w:rsid w:val="000263AA"/>
    <w:rsid w:val="000268CF"/>
    <w:rsid w:val="000272B3"/>
    <w:rsid w:val="00027A00"/>
    <w:rsid w:val="00030077"/>
    <w:rsid w:val="00030543"/>
    <w:rsid w:val="00030B01"/>
    <w:rsid w:val="00030F1D"/>
    <w:rsid w:val="00031069"/>
    <w:rsid w:val="000316ED"/>
    <w:rsid w:val="0003187D"/>
    <w:rsid w:val="000320FC"/>
    <w:rsid w:val="0003280E"/>
    <w:rsid w:val="0003287B"/>
    <w:rsid w:val="000339B8"/>
    <w:rsid w:val="0003468E"/>
    <w:rsid w:val="000358CC"/>
    <w:rsid w:val="00035A8F"/>
    <w:rsid w:val="00035F4F"/>
    <w:rsid w:val="00036337"/>
    <w:rsid w:val="000376F3"/>
    <w:rsid w:val="000401B2"/>
    <w:rsid w:val="00040BDD"/>
    <w:rsid w:val="000414FF"/>
    <w:rsid w:val="00041531"/>
    <w:rsid w:val="0004160C"/>
    <w:rsid w:val="000423C4"/>
    <w:rsid w:val="00042BED"/>
    <w:rsid w:val="00042EE5"/>
    <w:rsid w:val="00043674"/>
    <w:rsid w:val="00043DCF"/>
    <w:rsid w:val="000449AF"/>
    <w:rsid w:val="00044DA5"/>
    <w:rsid w:val="00045801"/>
    <w:rsid w:val="00045F56"/>
    <w:rsid w:val="000460EB"/>
    <w:rsid w:val="00046243"/>
    <w:rsid w:val="0004681B"/>
    <w:rsid w:val="00046F82"/>
    <w:rsid w:val="0004720D"/>
    <w:rsid w:val="00047AFC"/>
    <w:rsid w:val="0005088E"/>
    <w:rsid w:val="00050B55"/>
    <w:rsid w:val="00050BD3"/>
    <w:rsid w:val="000519CA"/>
    <w:rsid w:val="00051C73"/>
    <w:rsid w:val="00051E57"/>
    <w:rsid w:val="0005282E"/>
    <w:rsid w:val="000530B2"/>
    <w:rsid w:val="00053422"/>
    <w:rsid w:val="000536CA"/>
    <w:rsid w:val="00053F33"/>
    <w:rsid w:val="0005517D"/>
    <w:rsid w:val="00055471"/>
    <w:rsid w:val="00055648"/>
    <w:rsid w:val="000556CF"/>
    <w:rsid w:val="00055E0D"/>
    <w:rsid w:val="00055E3E"/>
    <w:rsid w:val="00056034"/>
    <w:rsid w:val="000562F7"/>
    <w:rsid w:val="00056760"/>
    <w:rsid w:val="00056CD0"/>
    <w:rsid w:val="00056F3C"/>
    <w:rsid w:val="00057776"/>
    <w:rsid w:val="00060175"/>
    <w:rsid w:val="00060393"/>
    <w:rsid w:val="000604F8"/>
    <w:rsid w:val="00060D11"/>
    <w:rsid w:val="0006144C"/>
    <w:rsid w:val="0006260E"/>
    <w:rsid w:val="000626C2"/>
    <w:rsid w:val="00062864"/>
    <w:rsid w:val="000628CD"/>
    <w:rsid w:val="000628DC"/>
    <w:rsid w:val="00063349"/>
    <w:rsid w:val="00064165"/>
    <w:rsid w:val="000645EF"/>
    <w:rsid w:val="00064623"/>
    <w:rsid w:val="00065000"/>
    <w:rsid w:val="00065317"/>
    <w:rsid w:val="000659F6"/>
    <w:rsid w:val="00066197"/>
    <w:rsid w:val="00066426"/>
    <w:rsid w:val="00066598"/>
    <w:rsid w:val="000669B6"/>
    <w:rsid w:val="00067127"/>
    <w:rsid w:val="000676FB"/>
    <w:rsid w:val="00070810"/>
    <w:rsid w:val="00072230"/>
    <w:rsid w:val="00072385"/>
    <w:rsid w:val="0007266E"/>
    <w:rsid w:val="00072A86"/>
    <w:rsid w:val="00072D79"/>
    <w:rsid w:val="00072DB2"/>
    <w:rsid w:val="00072E7A"/>
    <w:rsid w:val="00073A74"/>
    <w:rsid w:val="00073BCC"/>
    <w:rsid w:val="0007414D"/>
    <w:rsid w:val="0007439D"/>
    <w:rsid w:val="00075115"/>
    <w:rsid w:val="00075E3B"/>
    <w:rsid w:val="000760EF"/>
    <w:rsid w:val="00076E78"/>
    <w:rsid w:val="00077345"/>
    <w:rsid w:val="000776BF"/>
    <w:rsid w:val="00077D2A"/>
    <w:rsid w:val="0008024D"/>
    <w:rsid w:val="00080A1A"/>
    <w:rsid w:val="00080AD8"/>
    <w:rsid w:val="00080BA9"/>
    <w:rsid w:val="00080E93"/>
    <w:rsid w:val="00081A22"/>
    <w:rsid w:val="0008354D"/>
    <w:rsid w:val="0008495B"/>
    <w:rsid w:val="00084A66"/>
    <w:rsid w:val="00084A88"/>
    <w:rsid w:val="00084DB1"/>
    <w:rsid w:val="000854C5"/>
    <w:rsid w:val="00085777"/>
    <w:rsid w:val="00085B6E"/>
    <w:rsid w:val="0008662C"/>
    <w:rsid w:val="00086B9E"/>
    <w:rsid w:val="000872F8"/>
    <w:rsid w:val="00087323"/>
    <w:rsid w:val="0008777B"/>
    <w:rsid w:val="000878C1"/>
    <w:rsid w:val="00087CB3"/>
    <w:rsid w:val="00087D22"/>
    <w:rsid w:val="00087F72"/>
    <w:rsid w:val="00090122"/>
    <w:rsid w:val="00090331"/>
    <w:rsid w:val="00090C55"/>
    <w:rsid w:val="00090C59"/>
    <w:rsid w:val="00091DD1"/>
    <w:rsid w:val="00092B86"/>
    <w:rsid w:val="00092C08"/>
    <w:rsid w:val="00093331"/>
    <w:rsid w:val="0009373A"/>
    <w:rsid w:val="00094177"/>
    <w:rsid w:val="00094CFA"/>
    <w:rsid w:val="00095669"/>
    <w:rsid w:val="00095A95"/>
    <w:rsid w:val="00096530"/>
    <w:rsid w:val="0009657F"/>
    <w:rsid w:val="00096697"/>
    <w:rsid w:val="000976A8"/>
    <w:rsid w:val="00097913"/>
    <w:rsid w:val="000A0E18"/>
    <w:rsid w:val="000A0E62"/>
    <w:rsid w:val="000A0E66"/>
    <w:rsid w:val="000A1404"/>
    <w:rsid w:val="000A16DF"/>
    <w:rsid w:val="000A27B0"/>
    <w:rsid w:val="000A287F"/>
    <w:rsid w:val="000A35D7"/>
    <w:rsid w:val="000A3FFC"/>
    <w:rsid w:val="000A4219"/>
    <w:rsid w:val="000A4329"/>
    <w:rsid w:val="000A4AAB"/>
    <w:rsid w:val="000A4E13"/>
    <w:rsid w:val="000A538C"/>
    <w:rsid w:val="000A574C"/>
    <w:rsid w:val="000A5918"/>
    <w:rsid w:val="000A5AEE"/>
    <w:rsid w:val="000A622B"/>
    <w:rsid w:val="000A657F"/>
    <w:rsid w:val="000A659A"/>
    <w:rsid w:val="000A6999"/>
    <w:rsid w:val="000A7905"/>
    <w:rsid w:val="000A79EA"/>
    <w:rsid w:val="000B0FDC"/>
    <w:rsid w:val="000B1245"/>
    <w:rsid w:val="000B12F8"/>
    <w:rsid w:val="000B14B7"/>
    <w:rsid w:val="000B1C61"/>
    <w:rsid w:val="000B1F8E"/>
    <w:rsid w:val="000B1FB8"/>
    <w:rsid w:val="000B2029"/>
    <w:rsid w:val="000B2359"/>
    <w:rsid w:val="000B23EA"/>
    <w:rsid w:val="000B2F03"/>
    <w:rsid w:val="000B2F78"/>
    <w:rsid w:val="000B2FC7"/>
    <w:rsid w:val="000B33E1"/>
    <w:rsid w:val="000B3693"/>
    <w:rsid w:val="000B3A26"/>
    <w:rsid w:val="000B486F"/>
    <w:rsid w:val="000B4A31"/>
    <w:rsid w:val="000B5568"/>
    <w:rsid w:val="000B5B84"/>
    <w:rsid w:val="000B6469"/>
    <w:rsid w:val="000B692C"/>
    <w:rsid w:val="000B6BAE"/>
    <w:rsid w:val="000B71BE"/>
    <w:rsid w:val="000B72E6"/>
    <w:rsid w:val="000B77ED"/>
    <w:rsid w:val="000C1744"/>
    <w:rsid w:val="000C1FA3"/>
    <w:rsid w:val="000C2BB7"/>
    <w:rsid w:val="000C3161"/>
    <w:rsid w:val="000C3164"/>
    <w:rsid w:val="000C3632"/>
    <w:rsid w:val="000C3BCF"/>
    <w:rsid w:val="000C3FDA"/>
    <w:rsid w:val="000C4409"/>
    <w:rsid w:val="000C4513"/>
    <w:rsid w:val="000C4A60"/>
    <w:rsid w:val="000C52C1"/>
    <w:rsid w:val="000C5484"/>
    <w:rsid w:val="000C684E"/>
    <w:rsid w:val="000C6F36"/>
    <w:rsid w:val="000D033D"/>
    <w:rsid w:val="000D09A2"/>
    <w:rsid w:val="000D0CEC"/>
    <w:rsid w:val="000D0D9B"/>
    <w:rsid w:val="000D1BAF"/>
    <w:rsid w:val="000D2FAE"/>
    <w:rsid w:val="000D32AE"/>
    <w:rsid w:val="000D3727"/>
    <w:rsid w:val="000D3833"/>
    <w:rsid w:val="000D393F"/>
    <w:rsid w:val="000D4D92"/>
    <w:rsid w:val="000D5699"/>
    <w:rsid w:val="000D605A"/>
    <w:rsid w:val="000D6178"/>
    <w:rsid w:val="000D705E"/>
    <w:rsid w:val="000D76AD"/>
    <w:rsid w:val="000E0860"/>
    <w:rsid w:val="000E0DEA"/>
    <w:rsid w:val="000E1195"/>
    <w:rsid w:val="000E1391"/>
    <w:rsid w:val="000E19A9"/>
    <w:rsid w:val="000E1E98"/>
    <w:rsid w:val="000E27FF"/>
    <w:rsid w:val="000E3191"/>
    <w:rsid w:val="000E4750"/>
    <w:rsid w:val="000E49E7"/>
    <w:rsid w:val="000E4B04"/>
    <w:rsid w:val="000E5269"/>
    <w:rsid w:val="000E6F7B"/>
    <w:rsid w:val="000E77A1"/>
    <w:rsid w:val="000F013F"/>
    <w:rsid w:val="000F032A"/>
    <w:rsid w:val="000F0F21"/>
    <w:rsid w:val="000F0F83"/>
    <w:rsid w:val="000F2103"/>
    <w:rsid w:val="000F2AD7"/>
    <w:rsid w:val="000F3021"/>
    <w:rsid w:val="000F32BB"/>
    <w:rsid w:val="000F32E6"/>
    <w:rsid w:val="000F3D2F"/>
    <w:rsid w:val="000F4425"/>
    <w:rsid w:val="000F46FF"/>
    <w:rsid w:val="000F4A2D"/>
    <w:rsid w:val="000F4B3C"/>
    <w:rsid w:val="000F4DEE"/>
    <w:rsid w:val="000F5CA6"/>
    <w:rsid w:val="000F5D84"/>
    <w:rsid w:val="000F60C3"/>
    <w:rsid w:val="000F66CC"/>
    <w:rsid w:val="000F6864"/>
    <w:rsid w:val="000F6D50"/>
    <w:rsid w:val="000F6E47"/>
    <w:rsid w:val="000F7CDF"/>
    <w:rsid w:val="000F7D78"/>
    <w:rsid w:val="00100138"/>
    <w:rsid w:val="001004C2"/>
    <w:rsid w:val="001005D1"/>
    <w:rsid w:val="00100F15"/>
    <w:rsid w:val="0010123E"/>
    <w:rsid w:val="0010251F"/>
    <w:rsid w:val="00102A83"/>
    <w:rsid w:val="00103285"/>
    <w:rsid w:val="001047D8"/>
    <w:rsid w:val="00105F48"/>
    <w:rsid w:val="001068FC"/>
    <w:rsid w:val="00106C56"/>
    <w:rsid w:val="00107175"/>
    <w:rsid w:val="001072E8"/>
    <w:rsid w:val="00110F4B"/>
    <w:rsid w:val="00111DD1"/>
    <w:rsid w:val="00112B55"/>
    <w:rsid w:val="00112CFF"/>
    <w:rsid w:val="001134DB"/>
    <w:rsid w:val="001135A0"/>
    <w:rsid w:val="001155A5"/>
    <w:rsid w:val="0011566F"/>
    <w:rsid w:val="0011589C"/>
    <w:rsid w:val="00116008"/>
    <w:rsid w:val="00116B7A"/>
    <w:rsid w:val="00116CD7"/>
    <w:rsid w:val="00117EAA"/>
    <w:rsid w:val="001200E9"/>
    <w:rsid w:val="00120200"/>
    <w:rsid w:val="0012130C"/>
    <w:rsid w:val="00121A4D"/>
    <w:rsid w:val="00121BD3"/>
    <w:rsid w:val="001227E1"/>
    <w:rsid w:val="00122CCD"/>
    <w:rsid w:val="00122DBF"/>
    <w:rsid w:val="0012362C"/>
    <w:rsid w:val="00124858"/>
    <w:rsid w:val="00125250"/>
    <w:rsid w:val="00125AD7"/>
    <w:rsid w:val="001260FA"/>
    <w:rsid w:val="00126F78"/>
    <w:rsid w:val="001275D5"/>
    <w:rsid w:val="001275FC"/>
    <w:rsid w:val="00127EA2"/>
    <w:rsid w:val="00130DC3"/>
    <w:rsid w:val="00130F7A"/>
    <w:rsid w:val="00131E90"/>
    <w:rsid w:val="00132720"/>
    <w:rsid w:val="00133BB1"/>
    <w:rsid w:val="00134833"/>
    <w:rsid w:val="00134858"/>
    <w:rsid w:val="00134D5F"/>
    <w:rsid w:val="00135324"/>
    <w:rsid w:val="00135784"/>
    <w:rsid w:val="00135892"/>
    <w:rsid w:val="0013734A"/>
    <w:rsid w:val="00137816"/>
    <w:rsid w:val="00140EF6"/>
    <w:rsid w:val="00140F24"/>
    <w:rsid w:val="00141286"/>
    <w:rsid w:val="00142206"/>
    <w:rsid w:val="00142958"/>
    <w:rsid w:val="00142A13"/>
    <w:rsid w:val="00142A2E"/>
    <w:rsid w:val="001434EA"/>
    <w:rsid w:val="00143A6C"/>
    <w:rsid w:val="00143C17"/>
    <w:rsid w:val="00143D9B"/>
    <w:rsid w:val="00144EFC"/>
    <w:rsid w:val="00145E2F"/>
    <w:rsid w:val="00145EDA"/>
    <w:rsid w:val="001473C7"/>
    <w:rsid w:val="00147553"/>
    <w:rsid w:val="0014760E"/>
    <w:rsid w:val="00147817"/>
    <w:rsid w:val="00147B4F"/>
    <w:rsid w:val="00150393"/>
    <w:rsid w:val="00150BEB"/>
    <w:rsid w:val="001513CB"/>
    <w:rsid w:val="001515EE"/>
    <w:rsid w:val="001516A6"/>
    <w:rsid w:val="00151B7C"/>
    <w:rsid w:val="00151BD3"/>
    <w:rsid w:val="00151F74"/>
    <w:rsid w:val="001520CD"/>
    <w:rsid w:val="001524CD"/>
    <w:rsid w:val="001527EB"/>
    <w:rsid w:val="00152DBB"/>
    <w:rsid w:val="00153453"/>
    <w:rsid w:val="001534C8"/>
    <w:rsid w:val="00153B31"/>
    <w:rsid w:val="00155153"/>
    <w:rsid w:val="00155154"/>
    <w:rsid w:val="00155492"/>
    <w:rsid w:val="00155675"/>
    <w:rsid w:val="00155F84"/>
    <w:rsid w:val="00156325"/>
    <w:rsid w:val="00156543"/>
    <w:rsid w:val="00156CB9"/>
    <w:rsid w:val="001576C5"/>
    <w:rsid w:val="00160832"/>
    <w:rsid w:val="00160866"/>
    <w:rsid w:val="00160F0C"/>
    <w:rsid w:val="0016105B"/>
    <w:rsid w:val="00161374"/>
    <w:rsid w:val="001616F6"/>
    <w:rsid w:val="0016202C"/>
    <w:rsid w:val="001627F0"/>
    <w:rsid w:val="00163602"/>
    <w:rsid w:val="001637DC"/>
    <w:rsid w:val="00164169"/>
    <w:rsid w:val="001644B2"/>
    <w:rsid w:val="001659DD"/>
    <w:rsid w:val="00166056"/>
    <w:rsid w:val="001665C6"/>
    <w:rsid w:val="00166B6A"/>
    <w:rsid w:val="00167918"/>
    <w:rsid w:val="00167BEF"/>
    <w:rsid w:val="00167FC4"/>
    <w:rsid w:val="001708FA"/>
    <w:rsid w:val="001710E7"/>
    <w:rsid w:val="00171F81"/>
    <w:rsid w:val="00173100"/>
    <w:rsid w:val="00173211"/>
    <w:rsid w:val="00173CC9"/>
    <w:rsid w:val="00173F40"/>
    <w:rsid w:val="00174BA3"/>
    <w:rsid w:val="00175D09"/>
    <w:rsid w:val="00176DBC"/>
    <w:rsid w:val="00176EBA"/>
    <w:rsid w:val="001774AB"/>
    <w:rsid w:val="00177597"/>
    <w:rsid w:val="00177738"/>
    <w:rsid w:val="0018015F"/>
    <w:rsid w:val="001804BD"/>
    <w:rsid w:val="00180C3A"/>
    <w:rsid w:val="001825AF"/>
    <w:rsid w:val="001825DA"/>
    <w:rsid w:val="001826AA"/>
    <w:rsid w:val="001833DD"/>
    <w:rsid w:val="00183BA5"/>
    <w:rsid w:val="00183C24"/>
    <w:rsid w:val="00183CAF"/>
    <w:rsid w:val="00183F8E"/>
    <w:rsid w:val="00184324"/>
    <w:rsid w:val="00184AC8"/>
    <w:rsid w:val="00186888"/>
    <w:rsid w:val="00186FFD"/>
    <w:rsid w:val="0018729D"/>
    <w:rsid w:val="00187D8E"/>
    <w:rsid w:val="00187FDD"/>
    <w:rsid w:val="001900A5"/>
    <w:rsid w:val="00190485"/>
    <w:rsid w:val="00190A05"/>
    <w:rsid w:val="00191067"/>
    <w:rsid w:val="00191388"/>
    <w:rsid w:val="00191DF0"/>
    <w:rsid w:val="001924C6"/>
    <w:rsid w:val="001929EE"/>
    <w:rsid w:val="0019329A"/>
    <w:rsid w:val="00194C40"/>
    <w:rsid w:val="00194FB8"/>
    <w:rsid w:val="0019516C"/>
    <w:rsid w:val="00195755"/>
    <w:rsid w:val="00195CCA"/>
    <w:rsid w:val="001964BD"/>
    <w:rsid w:val="0019723C"/>
    <w:rsid w:val="00197E69"/>
    <w:rsid w:val="001A01EC"/>
    <w:rsid w:val="001A105B"/>
    <w:rsid w:val="001A1114"/>
    <w:rsid w:val="001A235F"/>
    <w:rsid w:val="001A25A5"/>
    <w:rsid w:val="001A2D6B"/>
    <w:rsid w:val="001A34E0"/>
    <w:rsid w:val="001A3BFC"/>
    <w:rsid w:val="001A3FC0"/>
    <w:rsid w:val="001A4184"/>
    <w:rsid w:val="001A4727"/>
    <w:rsid w:val="001A511D"/>
    <w:rsid w:val="001A54C8"/>
    <w:rsid w:val="001A5FE8"/>
    <w:rsid w:val="001A632D"/>
    <w:rsid w:val="001A6952"/>
    <w:rsid w:val="001A6A6B"/>
    <w:rsid w:val="001A70D4"/>
    <w:rsid w:val="001A7A4E"/>
    <w:rsid w:val="001B1032"/>
    <w:rsid w:val="001B2F9A"/>
    <w:rsid w:val="001B3476"/>
    <w:rsid w:val="001B37ED"/>
    <w:rsid w:val="001B3869"/>
    <w:rsid w:val="001B3B03"/>
    <w:rsid w:val="001B3D5D"/>
    <w:rsid w:val="001B4F13"/>
    <w:rsid w:val="001B4FDD"/>
    <w:rsid w:val="001B5692"/>
    <w:rsid w:val="001B6C6C"/>
    <w:rsid w:val="001B7352"/>
    <w:rsid w:val="001B78A5"/>
    <w:rsid w:val="001C08C0"/>
    <w:rsid w:val="001C0911"/>
    <w:rsid w:val="001C0DC2"/>
    <w:rsid w:val="001C13B9"/>
    <w:rsid w:val="001C1990"/>
    <w:rsid w:val="001C2547"/>
    <w:rsid w:val="001C3243"/>
    <w:rsid w:val="001C38E0"/>
    <w:rsid w:val="001C3CBB"/>
    <w:rsid w:val="001C4208"/>
    <w:rsid w:val="001C4C71"/>
    <w:rsid w:val="001C4F0E"/>
    <w:rsid w:val="001C581D"/>
    <w:rsid w:val="001C5C1B"/>
    <w:rsid w:val="001C658B"/>
    <w:rsid w:val="001C6A4F"/>
    <w:rsid w:val="001C7937"/>
    <w:rsid w:val="001C7CD7"/>
    <w:rsid w:val="001D0060"/>
    <w:rsid w:val="001D0A73"/>
    <w:rsid w:val="001D0D4C"/>
    <w:rsid w:val="001D112F"/>
    <w:rsid w:val="001D1589"/>
    <w:rsid w:val="001D1791"/>
    <w:rsid w:val="001D38E6"/>
    <w:rsid w:val="001D5559"/>
    <w:rsid w:val="001D6289"/>
    <w:rsid w:val="001D65E6"/>
    <w:rsid w:val="001D68E7"/>
    <w:rsid w:val="001D7AB9"/>
    <w:rsid w:val="001E0CBE"/>
    <w:rsid w:val="001E178A"/>
    <w:rsid w:val="001E1B5A"/>
    <w:rsid w:val="001E2689"/>
    <w:rsid w:val="001E2826"/>
    <w:rsid w:val="001E3113"/>
    <w:rsid w:val="001E33BC"/>
    <w:rsid w:val="001E35B8"/>
    <w:rsid w:val="001E3792"/>
    <w:rsid w:val="001E37B3"/>
    <w:rsid w:val="001E4F69"/>
    <w:rsid w:val="001E50F8"/>
    <w:rsid w:val="001E64A3"/>
    <w:rsid w:val="001E667C"/>
    <w:rsid w:val="001E6BA5"/>
    <w:rsid w:val="001E735C"/>
    <w:rsid w:val="001E7595"/>
    <w:rsid w:val="001E769B"/>
    <w:rsid w:val="001F0518"/>
    <w:rsid w:val="001F08AA"/>
    <w:rsid w:val="001F19E5"/>
    <w:rsid w:val="001F1A1E"/>
    <w:rsid w:val="001F1A21"/>
    <w:rsid w:val="001F1EF6"/>
    <w:rsid w:val="001F1F1B"/>
    <w:rsid w:val="001F2EB4"/>
    <w:rsid w:val="001F308F"/>
    <w:rsid w:val="001F30D7"/>
    <w:rsid w:val="001F325B"/>
    <w:rsid w:val="001F3539"/>
    <w:rsid w:val="001F4495"/>
    <w:rsid w:val="001F5493"/>
    <w:rsid w:val="001F57D3"/>
    <w:rsid w:val="001F60FF"/>
    <w:rsid w:val="001F643E"/>
    <w:rsid w:val="001F7000"/>
    <w:rsid w:val="001F74A1"/>
    <w:rsid w:val="001F7BA5"/>
    <w:rsid w:val="001F7BE6"/>
    <w:rsid w:val="001F7C6C"/>
    <w:rsid w:val="0020011C"/>
    <w:rsid w:val="002001B3"/>
    <w:rsid w:val="002007B1"/>
    <w:rsid w:val="0020125A"/>
    <w:rsid w:val="00201384"/>
    <w:rsid w:val="00201E92"/>
    <w:rsid w:val="0020263C"/>
    <w:rsid w:val="002027C8"/>
    <w:rsid w:val="0020327C"/>
    <w:rsid w:val="00203E40"/>
    <w:rsid w:val="00204873"/>
    <w:rsid w:val="00204CF7"/>
    <w:rsid w:val="0020513F"/>
    <w:rsid w:val="0020591E"/>
    <w:rsid w:val="0020596C"/>
    <w:rsid w:val="00206DF8"/>
    <w:rsid w:val="00206F73"/>
    <w:rsid w:val="002074CE"/>
    <w:rsid w:val="0021059B"/>
    <w:rsid w:val="00210A32"/>
    <w:rsid w:val="00211131"/>
    <w:rsid w:val="002118DE"/>
    <w:rsid w:val="00211B5C"/>
    <w:rsid w:val="00211D9D"/>
    <w:rsid w:val="00212654"/>
    <w:rsid w:val="002132CE"/>
    <w:rsid w:val="00213418"/>
    <w:rsid w:val="002134BB"/>
    <w:rsid w:val="00213D8C"/>
    <w:rsid w:val="00213DEE"/>
    <w:rsid w:val="00213E8A"/>
    <w:rsid w:val="0021413F"/>
    <w:rsid w:val="002142DC"/>
    <w:rsid w:val="00215689"/>
    <w:rsid w:val="002156B5"/>
    <w:rsid w:val="00215795"/>
    <w:rsid w:val="002160EA"/>
    <w:rsid w:val="00216945"/>
    <w:rsid w:val="00216E7B"/>
    <w:rsid w:val="002178D5"/>
    <w:rsid w:val="00217E25"/>
    <w:rsid w:val="002209F1"/>
    <w:rsid w:val="00220DC1"/>
    <w:rsid w:val="002210FD"/>
    <w:rsid w:val="00221334"/>
    <w:rsid w:val="00221AB7"/>
    <w:rsid w:val="00222337"/>
    <w:rsid w:val="0022262B"/>
    <w:rsid w:val="002229E1"/>
    <w:rsid w:val="00222AAF"/>
    <w:rsid w:val="00222C31"/>
    <w:rsid w:val="002230A1"/>
    <w:rsid w:val="002242C6"/>
    <w:rsid w:val="0022467F"/>
    <w:rsid w:val="002248AF"/>
    <w:rsid w:val="00224E71"/>
    <w:rsid w:val="00225194"/>
    <w:rsid w:val="00225652"/>
    <w:rsid w:val="00225FAD"/>
    <w:rsid w:val="002266FC"/>
    <w:rsid w:val="0022680A"/>
    <w:rsid w:val="00226832"/>
    <w:rsid w:val="00227B40"/>
    <w:rsid w:val="00227DC4"/>
    <w:rsid w:val="0023025E"/>
    <w:rsid w:val="002304EB"/>
    <w:rsid w:val="00232B72"/>
    <w:rsid w:val="00232C68"/>
    <w:rsid w:val="002331D5"/>
    <w:rsid w:val="00233798"/>
    <w:rsid w:val="00233C29"/>
    <w:rsid w:val="002347DC"/>
    <w:rsid w:val="0023529E"/>
    <w:rsid w:val="002353A7"/>
    <w:rsid w:val="00235470"/>
    <w:rsid w:val="00235642"/>
    <w:rsid w:val="00235C14"/>
    <w:rsid w:val="00235C2D"/>
    <w:rsid w:val="0023648C"/>
    <w:rsid w:val="0023675A"/>
    <w:rsid w:val="0023769C"/>
    <w:rsid w:val="002378C5"/>
    <w:rsid w:val="002400D6"/>
    <w:rsid w:val="00240198"/>
    <w:rsid w:val="00240340"/>
    <w:rsid w:val="002403CE"/>
    <w:rsid w:val="00242958"/>
    <w:rsid w:val="00243193"/>
    <w:rsid w:val="00243386"/>
    <w:rsid w:val="00246AF7"/>
    <w:rsid w:val="002470FC"/>
    <w:rsid w:val="00247A88"/>
    <w:rsid w:val="00250849"/>
    <w:rsid w:val="00250872"/>
    <w:rsid w:val="0025115A"/>
    <w:rsid w:val="00251DB1"/>
    <w:rsid w:val="00252030"/>
    <w:rsid w:val="002523F3"/>
    <w:rsid w:val="0025291F"/>
    <w:rsid w:val="002531A1"/>
    <w:rsid w:val="0025467B"/>
    <w:rsid w:val="00254A52"/>
    <w:rsid w:val="00254FA4"/>
    <w:rsid w:val="002551DA"/>
    <w:rsid w:val="00255287"/>
    <w:rsid w:val="0025555D"/>
    <w:rsid w:val="0025603C"/>
    <w:rsid w:val="002563DD"/>
    <w:rsid w:val="0025660B"/>
    <w:rsid w:val="00256681"/>
    <w:rsid w:val="00256C0E"/>
    <w:rsid w:val="00256CF0"/>
    <w:rsid w:val="00256D0A"/>
    <w:rsid w:val="002602A1"/>
    <w:rsid w:val="00261A2A"/>
    <w:rsid w:val="002622E1"/>
    <w:rsid w:val="002637FD"/>
    <w:rsid w:val="00263D0C"/>
    <w:rsid w:val="00264A27"/>
    <w:rsid w:val="00264D44"/>
    <w:rsid w:val="00267713"/>
    <w:rsid w:val="002700EE"/>
    <w:rsid w:val="00270903"/>
    <w:rsid w:val="00270AB6"/>
    <w:rsid w:val="00271463"/>
    <w:rsid w:val="00271869"/>
    <w:rsid w:val="00272484"/>
    <w:rsid w:val="00272965"/>
    <w:rsid w:val="0027325E"/>
    <w:rsid w:val="00274829"/>
    <w:rsid w:val="00275C85"/>
    <w:rsid w:val="0027642E"/>
    <w:rsid w:val="00277248"/>
    <w:rsid w:val="00277883"/>
    <w:rsid w:val="00280CF3"/>
    <w:rsid w:val="00281004"/>
    <w:rsid w:val="0028117D"/>
    <w:rsid w:val="00281872"/>
    <w:rsid w:val="00281C25"/>
    <w:rsid w:val="00282703"/>
    <w:rsid w:val="00283030"/>
    <w:rsid w:val="00283848"/>
    <w:rsid w:val="00283A63"/>
    <w:rsid w:val="00283DC3"/>
    <w:rsid w:val="0028405F"/>
    <w:rsid w:val="00284238"/>
    <w:rsid w:val="00284EEF"/>
    <w:rsid w:val="00284F00"/>
    <w:rsid w:val="002855E2"/>
    <w:rsid w:val="00285935"/>
    <w:rsid w:val="00286294"/>
    <w:rsid w:val="002862E0"/>
    <w:rsid w:val="00286582"/>
    <w:rsid w:val="00287074"/>
    <w:rsid w:val="00287107"/>
    <w:rsid w:val="002872AF"/>
    <w:rsid w:val="002873CB"/>
    <w:rsid w:val="00287BB9"/>
    <w:rsid w:val="00287F41"/>
    <w:rsid w:val="00287FE2"/>
    <w:rsid w:val="00290D49"/>
    <w:rsid w:val="0029104E"/>
    <w:rsid w:val="00291195"/>
    <w:rsid w:val="00291AC3"/>
    <w:rsid w:val="002920BB"/>
    <w:rsid w:val="00292F99"/>
    <w:rsid w:val="002934AF"/>
    <w:rsid w:val="00293C1B"/>
    <w:rsid w:val="0029571A"/>
    <w:rsid w:val="002957E4"/>
    <w:rsid w:val="002964D2"/>
    <w:rsid w:val="00296564"/>
    <w:rsid w:val="002967CA"/>
    <w:rsid w:val="00296A49"/>
    <w:rsid w:val="00297708"/>
    <w:rsid w:val="00297B00"/>
    <w:rsid w:val="002A09F1"/>
    <w:rsid w:val="002A0E61"/>
    <w:rsid w:val="002A0E92"/>
    <w:rsid w:val="002A1169"/>
    <w:rsid w:val="002A24A9"/>
    <w:rsid w:val="002A2B93"/>
    <w:rsid w:val="002A3B5A"/>
    <w:rsid w:val="002A40F5"/>
    <w:rsid w:val="002A4111"/>
    <w:rsid w:val="002A491B"/>
    <w:rsid w:val="002A4C7C"/>
    <w:rsid w:val="002A4CC0"/>
    <w:rsid w:val="002A5D96"/>
    <w:rsid w:val="002A6F9F"/>
    <w:rsid w:val="002B0558"/>
    <w:rsid w:val="002B076F"/>
    <w:rsid w:val="002B22D5"/>
    <w:rsid w:val="002B274C"/>
    <w:rsid w:val="002B2878"/>
    <w:rsid w:val="002B2944"/>
    <w:rsid w:val="002B2C18"/>
    <w:rsid w:val="002B3121"/>
    <w:rsid w:val="002B344D"/>
    <w:rsid w:val="002B4241"/>
    <w:rsid w:val="002B4B03"/>
    <w:rsid w:val="002B4C6D"/>
    <w:rsid w:val="002B4F90"/>
    <w:rsid w:val="002B59C5"/>
    <w:rsid w:val="002B66E3"/>
    <w:rsid w:val="002B6E6D"/>
    <w:rsid w:val="002B7AFE"/>
    <w:rsid w:val="002B7BE0"/>
    <w:rsid w:val="002C0073"/>
    <w:rsid w:val="002C032F"/>
    <w:rsid w:val="002C036C"/>
    <w:rsid w:val="002C0444"/>
    <w:rsid w:val="002C066A"/>
    <w:rsid w:val="002C0AC2"/>
    <w:rsid w:val="002C0CEA"/>
    <w:rsid w:val="002C112F"/>
    <w:rsid w:val="002C11A7"/>
    <w:rsid w:val="002C16BB"/>
    <w:rsid w:val="002C1797"/>
    <w:rsid w:val="002C1CA9"/>
    <w:rsid w:val="002C1CBA"/>
    <w:rsid w:val="002C2379"/>
    <w:rsid w:val="002C2B8F"/>
    <w:rsid w:val="002C2CB9"/>
    <w:rsid w:val="002C3089"/>
    <w:rsid w:val="002C3911"/>
    <w:rsid w:val="002C3DB5"/>
    <w:rsid w:val="002C45CC"/>
    <w:rsid w:val="002C4866"/>
    <w:rsid w:val="002C4B4A"/>
    <w:rsid w:val="002C4E79"/>
    <w:rsid w:val="002C4EDD"/>
    <w:rsid w:val="002C4FD1"/>
    <w:rsid w:val="002C50AF"/>
    <w:rsid w:val="002C54B9"/>
    <w:rsid w:val="002C5D26"/>
    <w:rsid w:val="002C6070"/>
    <w:rsid w:val="002C66F9"/>
    <w:rsid w:val="002C6982"/>
    <w:rsid w:val="002C69E9"/>
    <w:rsid w:val="002D0021"/>
    <w:rsid w:val="002D10D2"/>
    <w:rsid w:val="002D1EEE"/>
    <w:rsid w:val="002D2163"/>
    <w:rsid w:val="002D246D"/>
    <w:rsid w:val="002D31FF"/>
    <w:rsid w:val="002D3D01"/>
    <w:rsid w:val="002D3EF0"/>
    <w:rsid w:val="002D43FC"/>
    <w:rsid w:val="002D45C4"/>
    <w:rsid w:val="002D5031"/>
    <w:rsid w:val="002D52A6"/>
    <w:rsid w:val="002D54EC"/>
    <w:rsid w:val="002D64B1"/>
    <w:rsid w:val="002D6654"/>
    <w:rsid w:val="002D70CB"/>
    <w:rsid w:val="002D7192"/>
    <w:rsid w:val="002D7C79"/>
    <w:rsid w:val="002E0187"/>
    <w:rsid w:val="002E0679"/>
    <w:rsid w:val="002E0948"/>
    <w:rsid w:val="002E19CB"/>
    <w:rsid w:val="002E1CE8"/>
    <w:rsid w:val="002E2106"/>
    <w:rsid w:val="002E24B1"/>
    <w:rsid w:val="002E288D"/>
    <w:rsid w:val="002E3887"/>
    <w:rsid w:val="002E3A81"/>
    <w:rsid w:val="002E3B65"/>
    <w:rsid w:val="002E3F7A"/>
    <w:rsid w:val="002E42F7"/>
    <w:rsid w:val="002E44C7"/>
    <w:rsid w:val="002E4604"/>
    <w:rsid w:val="002E583D"/>
    <w:rsid w:val="002E5895"/>
    <w:rsid w:val="002E5ADB"/>
    <w:rsid w:val="002E5EF9"/>
    <w:rsid w:val="002E5F08"/>
    <w:rsid w:val="002E69A5"/>
    <w:rsid w:val="002E7405"/>
    <w:rsid w:val="002E7841"/>
    <w:rsid w:val="002E78D2"/>
    <w:rsid w:val="002F03FD"/>
    <w:rsid w:val="002F05AE"/>
    <w:rsid w:val="002F05ED"/>
    <w:rsid w:val="002F0A4F"/>
    <w:rsid w:val="002F0C43"/>
    <w:rsid w:val="002F0C63"/>
    <w:rsid w:val="002F1192"/>
    <w:rsid w:val="002F11D4"/>
    <w:rsid w:val="002F1873"/>
    <w:rsid w:val="002F202D"/>
    <w:rsid w:val="002F230C"/>
    <w:rsid w:val="002F2794"/>
    <w:rsid w:val="002F2809"/>
    <w:rsid w:val="002F2AD0"/>
    <w:rsid w:val="002F4203"/>
    <w:rsid w:val="002F4840"/>
    <w:rsid w:val="002F4A3D"/>
    <w:rsid w:val="002F5944"/>
    <w:rsid w:val="002F6FA9"/>
    <w:rsid w:val="002F71C3"/>
    <w:rsid w:val="002F7C86"/>
    <w:rsid w:val="002F7DBE"/>
    <w:rsid w:val="002F7E52"/>
    <w:rsid w:val="003006D7"/>
    <w:rsid w:val="00300700"/>
    <w:rsid w:val="00300AFE"/>
    <w:rsid w:val="00300DEC"/>
    <w:rsid w:val="00300E52"/>
    <w:rsid w:val="00300F56"/>
    <w:rsid w:val="003013CB"/>
    <w:rsid w:val="003017B9"/>
    <w:rsid w:val="00301826"/>
    <w:rsid w:val="0030274E"/>
    <w:rsid w:val="003035B2"/>
    <w:rsid w:val="00303609"/>
    <w:rsid w:val="00303808"/>
    <w:rsid w:val="00303FED"/>
    <w:rsid w:val="00304913"/>
    <w:rsid w:val="00304DAF"/>
    <w:rsid w:val="00304E6B"/>
    <w:rsid w:val="00305004"/>
    <w:rsid w:val="0030512D"/>
    <w:rsid w:val="00305170"/>
    <w:rsid w:val="003052B6"/>
    <w:rsid w:val="00305AC6"/>
    <w:rsid w:val="00305F92"/>
    <w:rsid w:val="00306059"/>
    <w:rsid w:val="003068E6"/>
    <w:rsid w:val="00306990"/>
    <w:rsid w:val="0030748F"/>
    <w:rsid w:val="00307A11"/>
    <w:rsid w:val="00307A9E"/>
    <w:rsid w:val="00307CAF"/>
    <w:rsid w:val="00310AE5"/>
    <w:rsid w:val="00310E20"/>
    <w:rsid w:val="003115DA"/>
    <w:rsid w:val="00311ECF"/>
    <w:rsid w:val="003129C5"/>
    <w:rsid w:val="00312B4D"/>
    <w:rsid w:val="00312BB3"/>
    <w:rsid w:val="00312DE1"/>
    <w:rsid w:val="003137EC"/>
    <w:rsid w:val="00313FEF"/>
    <w:rsid w:val="003140FC"/>
    <w:rsid w:val="00314381"/>
    <w:rsid w:val="00314631"/>
    <w:rsid w:val="0031593D"/>
    <w:rsid w:val="00316380"/>
    <w:rsid w:val="00316B5F"/>
    <w:rsid w:val="00317299"/>
    <w:rsid w:val="00317B3D"/>
    <w:rsid w:val="00317D1D"/>
    <w:rsid w:val="00320CE4"/>
    <w:rsid w:val="00320F16"/>
    <w:rsid w:val="003215F1"/>
    <w:rsid w:val="00321DAA"/>
    <w:rsid w:val="00322DF4"/>
    <w:rsid w:val="003234BE"/>
    <w:rsid w:val="00323DB0"/>
    <w:rsid w:val="00323E63"/>
    <w:rsid w:val="00324136"/>
    <w:rsid w:val="00324191"/>
    <w:rsid w:val="003242CA"/>
    <w:rsid w:val="00324A16"/>
    <w:rsid w:val="00324C7E"/>
    <w:rsid w:val="003250B9"/>
    <w:rsid w:val="003264BF"/>
    <w:rsid w:val="00326710"/>
    <w:rsid w:val="003269FA"/>
    <w:rsid w:val="00326F52"/>
    <w:rsid w:val="00327053"/>
    <w:rsid w:val="003275D8"/>
    <w:rsid w:val="00327B88"/>
    <w:rsid w:val="0033020B"/>
    <w:rsid w:val="00330299"/>
    <w:rsid w:val="003324BE"/>
    <w:rsid w:val="003326F6"/>
    <w:rsid w:val="00332714"/>
    <w:rsid w:val="00333214"/>
    <w:rsid w:val="003335B4"/>
    <w:rsid w:val="00333708"/>
    <w:rsid w:val="00333DBA"/>
    <w:rsid w:val="00333DBC"/>
    <w:rsid w:val="00334FE1"/>
    <w:rsid w:val="00335DE7"/>
    <w:rsid w:val="00340086"/>
    <w:rsid w:val="00341411"/>
    <w:rsid w:val="003418A2"/>
    <w:rsid w:val="003419B8"/>
    <w:rsid w:val="00341CF8"/>
    <w:rsid w:val="00341E4E"/>
    <w:rsid w:val="00342A8D"/>
    <w:rsid w:val="00342CF7"/>
    <w:rsid w:val="00342EEC"/>
    <w:rsid w:val="00343450"/>
    <w:rsid w:val="00343592"/>
    <w:rsid w:val="00343C03"/>
    <w:rsid w:val="00344415"/>
    <w:rsid w:val="00344C25"/>
    <w:rsid w:val="00346569"/>
    <w:rsid w:val="00346B2A"/>
    <w:rsid w:val="003473B0"/>
    <w:rsid w:val="003478A8"/>
    <w:rsid w:val="00347C24"/>
    <w:rsid w:val="00347FD5"/>
    <w:rsid w:val="0035012E"/>
    <w:rsid w:val="00350994"/>
    <w:rsid w:val="00350CBF"/>
    <w:rsid w:val="0035125B"/>
    <w:rsid w:val="00351485"/>
    <w:rsid w:val="00351AC9"/>
    <w:rsid w:val="00351CDD"/>
    <w:rsid w:val="00352226"/>
    <w:rsid w:val="0035341B"/>
    <w:rsid w:val="003543BD"/>
    <w:rsid w:val="00354487"/>
    <w:rsid w:val="00354B85"/>
    <w:rsid w:val="00354D5E"/>
    <w:rsid w:val="0035568C"/>
    <w:rsid w:val="00355B21"/>
    <w:rsid w:val="0035671A"/>
    <w:rsid w:val="00356BA0"/>
    <w:rsid w:val="0035713F"/>
    <w:rsid w:val="00357600"/>
    <w:rsid w:val="00357CB0"/>
    <w:rsid w:val="0036028F"/>
    <w:rsid w:val="003603E3"/>
    <w:rsid w:val="003603F3"/>
    <w:rsid w:val="00360C16"/>
    <w:rsid w:val="00360F67"/>
    <w:rsid w:val="00361076"/>
    <w:rsid w:val="0036159A"/>
    <w:rsid w:val="00361817"/>
    <w:rsid w:val="0036256A"/>
    <w:rsid w:val="00363FC4"/>
    <w:rsid w:val="00364551"/>
    <w:rsid w:val="00364599"/>
    <w:rsid w:val="003655E7"/>
    <w:rsid w:val="00365985"/>
    <w:rsid w:val="003675E7"/>
    <w:rsid w:val="003701EE"/>
    <w:rsid w:val="0037133A"/>
    <w:rsid w:val="00371579"/>
    <w:rsid w:val="0037185A"/>
    <w:rsid w:val="00371FC0"/>
    <w:rsid w:val="0037388E"/>
    <w:rsid w:val="00373A3F"/>
    <w:rsid w:val="00373D3C"/>
    <w:rsid w:val="00373F1F"/>
    <w:rsid w:val="00374465"/>
    <w:rsid w:val="00374A6B"/>
    <w:rsid w:val="00374A88"/>
    <w:rsid w:val="00374EFC"/>
    <w:rsid w:val="00375331"/>
    <w:rsid w:val="0037542C"/>
    <w:rsid w:val="0037668D"/>
    <w:rsid w:val="00376CC7"/>
    <w:rsid w:val="00377C9C"/>
    <w:rsid w:val="00380E55"/>
    <w:rsid w:val="00381195"/>
    <w:rsid w:val="00381646"/>
    <w:rsid w:val="003819E2"/>
    <w:rsid w:val="00381C28"/>
    <w:rsid w:val="00381E65"/>
    <w:rsid w:val="00382F9C"/>
    <w:rsid w:val="00383E67"/>
    <w:rsid w:val="00384F07"/>
    <w:rsid w:val="003850E9"/>
    <w:rsid w:val="0038580C"/>
    <w:rsid w:val="00385820"/>
    <w:rsid w:val="00385906"/>
    <w:rsid w:val="0038750B"/>
    <w:rsid w:val="0038791B"/>
    <w:rsid w:val="00387C1D"/>
    <w:rsid w:val="003907AB"/>
    <w:rsid w:val="003908C7"/>
    <w:rsid w:val="00390FDE"/>
    <w:rsid w:val="00392049"/>
    <w:rsid w:val="00392368"/>
    <w:rsid w:val="00392C68"/>
    <w:rsid w:val="00392E50"/>
    <w:rsid w:val="00392E7F"/>
    <w:rsid w:val="003930D7"/>
    <w:rsid w:val="00393337"/>
    <w:rsid w:val="00393FDA"/>
    <w:rsid w:val="003954F6"/>
    <w:rsid w:val="003956A5"/>
    <w:rsid w:val="003962A0"/>
    <w:rsid w:val="00396CC4"/>
    <w:rsid w:val="00397635"/>
    <w:rsid w:val="003979DE"/>
    <w:rsid w:val="003A006A"/>
    <w:rsid w:val="003A04A9"/>
    <w:rsid w:val="003A08B1"/>
    <w:rsid w:val="003A1121"/>
    <w:rsid w:val="003A185C"/>
    <w:rsid w:val="003A1ECB"/>
    <w:rsid w:val="003A2D1B"/>
    <w:rsid w:val="003A3706"/>
    <w:rsid w:val="003A40D6"/>
    <w:rsid w:val="003A4CBC"/>
    <w:rsid w:val="003A4D84"/>
    <w:rsid w:val="003A4D95"/>
    <w:rsid w:val="003A54FD"/>
    <w:rsid w:val="003A58B5"/>
    <w:rsid w:val="003A5E58"/>
    <w:rsid w:val="003A6201"/>
    <w:rsid w:val="003A6310"/>
    <w:rsid w:val="003A6F10"/>
    <w:rsid w:val="003A75D1"/>
    <w:rsid w:val="003A7890"/>
    <w:rsid w:val="003A789E"/>
    <w:rsid w:val="003A7AD6"/>
    <w:rsid w:val="003B06BA"/>
    <w:rsid w:val="003B1DFE"/>
    <w:rsid w:val="003B1E22"/>
    <w:rsid w:val="003B2478"/>
    <w:rsid w:val="003B3397"/>
    <w:rsid w:val="003B49A6"/>
    <w:rsid w:val="003B4D0B"/>
    <w:rsid w:val="003B4E7B"/>
    <w:rsid w:val="003B5473"/>
    <w:rsid w:val="003B684D"/>
    <w:rsid w:val="003B6CE9"/>
    <w:rsid w:val="003B708D"/>
    <w:rsid w:val="003B7336"/>
    <w:rsid w:val="003B7FB3"/>
    <w:rsid w:val="003C0091"/>
    <w:rsid w:val="003C0270"/>
    <w:rsid w:val="003C1889"/>
    <w:rsid w:val="003C1D35"/>
    <w:rsid w:val="003C1D75"/>
    <w:rsid w:val="003C20C4"/>
    <w:rsid w:val="003C2BC0"/>
    <w:rsid w:val="003C2FD0"/>
    <w:rsid w:val="003C3A1F"/>
    <w:rsid w:val="003C48B1"/>
    <w:rsid w:val="003C5798"/>
    <w:rsid w:val="003C625E"/>
    <w:rsid w:val="003C66FC"/>
    <w:rsid w:val="003C67E8"/>
    <w:rsid w:val="003C6928"/>
    <w:rsid w:val="003C6B1F"/>
    <w:rsid w:val="003C778C"/>
    <w:rsid w:val="003C7941"/>
    <w:rsid w:val="003D036C"/>
    <w:rsid w:val="003D1126"/>
    <w:rsid w:val="003D1313"/>
    <w:rsid w:val="003D1405"/>
    <w:rsid w:val="003D14F3"/>
    <w:rsid w:val="003D3548"/>
    <w:rsid w:val="003D39E2"/>
    <w:rsid w:val="003D3D79"/>
    <w:rsid w:val="003D4760"/>
    <w:rsid w:val="003D4BAF"/>
    <w:rsid w:val="003D4DA5"/>
    <w:rsid w:val="003D4F35"/>
    <w:rsid w:val="003D56D7"/>
    <w:rsid w:val="003D5F83"/>
    <w:rsid w:val="003D6052"/>
    <w:rsid w:val="003D61AA"/>
    <w:rsid w:val="003D61E2"/>
    <w:rsid w:val="003D6DA2"/>
    <w:rsid w:val="003E0525"/>
    <w:rsid w:val="003E071D"/>
    <w:rsid w:val="003E0EB2"/>
    <w:rsid w:val="003E2194"/>
    <w:rsid w:val="003E2249"/>
    <w:rsid w:val="003E2B66"/>
    <w:rsid w:val="003E2BF8"/>
    <w:rsid w:val="003E36A5"/>
    <w:rsid w:val="003E3718"/>
    <w:rsid w:val="003E3DA6"/>
    <w:rsid w:val="003E3F9B"/>
    <w:rsid w:val="003E4445"/>
    <w:rsid w:val="003E459B"/>
    <w:rsid w:val="003E465E"/>
    <w:rsid w:val="003E4761"/>
    <w:rsid w:val="003E4850"/>
    <w:rsid w:val="003E4CC4"/>
    <w:rsid w:val="003E51FD"/>
    <w:rsid w:val="003E59A9"/>
    <w:rsid w:val="003E5CE5"/>
    <w:rsid w:val="003E5FF0"/>
    <w:rsid w:val="003E70E3"/>
    <w:rsid w:val="003E761D"/>
    <w:rsid w:val="003E7B60"/>
    <w:rsid w:val="003F068E"/>
    <w:rsid w:val="003F15B9"/>
    <w:rsid w:val="003F1864"/>
    <w:rsid w:val="003F19F0"/>
    <w:rsid w:val="003F2839"/>
    <w:rsid w:val="003F4065"/>
    <w:rsid w:val="003F432D"/>
    <w:rsid w:val="003F4DE7"/>
    <w:rsid w:val="003F5055"/>
    <w:rsid w:val="003F5898"/>
    <w:rsid w:val="003F59C2"/>
    <w:rsid w:val="003F63EB"/>
    <w:rsid w:val="003F69CB"/>
    <w:rsid w:val="003F78F2"/>
    <w:rsid w:val="003F7D40"/>
    <w:rsid w:val="00400389"/>
    <w:rsid w:val="0040139A"/>
    <w:rsid w:val="00401C50"/>
    <w:rsid w:val="00401D0E"/>
    <w:rsid w:val="00401FDF"/>
    <w:rsid w:val="0040210C"/>
    <w:rsid w:val="00403739"/>
    <w:rsid w:val="00403953"/>
    <w:rsid w:val="004042BC"/>
    <w:rsid w:val="0040499C"/>
    <w:rsid w:val="004050BA"/>
    <w:rsid w:val="004051FF"/>
    <w:rsid w:val="0040567C"/>
    <w:rsid w:val="0040668D"/>
    <w:rsid w:val="004072C9"/>
    <w:rsid w:val="00407686"/>
    <w:rsid w:val="0040770F"/>
    <w:rsid w:val="00407BBF"/>
    <w:rsid w:val="0041042E"/>
    <w:rsid w:val="00410BFD"/>
    <w:rsid w:val="00411123"/>
    <w:rsid w:val="00411904"/>
    <w:rsid w:val="00411A3A"/>
    <w:rsid w:val="004122FD"/>
    <w:rsid w:val="00413B9D"/>
    <w:rsid w:val="00414D62"/>
    <w:rsid w:val="00415335"/>
    <w:rsid w:val="0041555F"/>
    <w:rsid w:val="00415635"/>
    <w:rsid w:val="00415755"/>
    <w:rsid w:val="00415F1F"/>
    <w:rsid w:val="00416105"/>
    <w:rsid w:val="004161CF"/>
    <w:rsid w:val="004172DA"/>
    <w:rsid w:val="004179F1"/>
    <w:rsid w:val="00417B92"/>
    <w:rsid w:val="00417D39"/>
    <w:rsid w:val="00421D65"/>
    <w:rsid w:val="004248A9"/>
    <w:rsid w:val="00424C03"/>
    <w:rsid w:val="0042520C"/>
    <w:rsid w:val="0042699C"/>
    <w:rsid w:val="00426FF7"/>
    <w:rsid w:val="004274E5"/>
    <w:rsid w:val="00427AAB"/>
    <w:rsid w:val="0043272A"/>
    <w:rsid w:val="00432F0E"/>
    <w:rsid w:val="004343BD"/>
    <w:rsid w:val="00434933"/>
    <w:rsid w:val="00434F6F"/>
    <w:rsid w:val="00435415"/>
    <w:rsid w:val="00435C1A"/>
    <w:rsid w:val="004366B9"/>
    <w:rsid w:val="004366E0"/>
    <w:rsid w:val="004371B8"/>
    <w:rsid w:val="0044099D"/>
    <w:rsid w:val="0044120B"/>
    <w:rsid w:val="004417A5"/>
    <w:rsid w:val="00441BF6"/>
    <w:rsid w:val="0044219B"/>
    <w:rsid w:val="00442AE8"/>
    <w:rsid w:val="0044358C"/>
    <w:rsid w:val="00443A14"/>
    <w:rsid w:val="00443D69"/>
    <w:rsid w:val="004454DD"/>
    <w:rsid w:val="004456A3"/>
    <w:rsid w:val="004457C2"/>
    <w:rsid w:val="0045027C"/>
    <w:rsid w:val="004505F7"/>
    <w:rsid w:val="004509B5"/>
    <w:rsid w:val="00451521"/>
    <w:rsid w:val="00451CA7"/>
    <w:rsid w:val="00451F5C"/>
    <w:rsid w:val="004521A7"/>
    <w:rsid w:val="00452239"/>
    <w:rsid w:val="004524FA"/>
    <w:rsid w:val="004532ED"/>
    <w:rsid w:val="00453330"/>
    <w:rsid w:val="00454003"/>
    <w:rsid w:val="00454271"/>
    <w:rsid w:val="00454AB5"/>
    <w:rsid w:val="00454FE0"/>
    <w:rsid w:val="00456A0D"/>
    <w:rsid w:val="00456FE2"/>
    <w:rsid w:val="0045743F"/>
    <w:rsid w:val="00457C23"/>
    <w:rsid w:val="00460040"/>
    <w:rsid w:val="004600DE"/>
    <w:rsid w:val="00460A55"/>
    <w:rsid w:val="00460B4B"/>
    <w:rsid w:val="0046111F"/>
    <w:rsid w:val="0046160A"/>
    <w:rsid w:val="004620E0"/>
    <w:rsid w:val="00462531"/>
    <w:rsid w:val="00462859"/>
    <w:rsid w:val="00463221"/>
    <w:rsid w:val="0046329B"/>
    <w:rsid w:val="00463AD7"/>
    <w:rsid w:val="00463FDB"/>
    <w:rsid w:val="0046470A"/>
    <w:rsid w:val="0046490A"/>
    <w:rsid w:val="00464A7A"/>
    <w:rsid w:val="004654B1"/>
    <w:rsid w:val="00465B75"/>
    <w:rsid w:val="004668E5"/>
    <w:rsid w:val="00466FDC"/>
    <w:rsid w:val="0046753B"/>
    <w:rsid w:val="00470D8D"/>
    <w:rsid w:val="00471AD6"/>
    <w:rsid w:val="00471CD4"/>
    <w:rsid w:val="004721FB"/>
    <w:rsid w:val="00472222"/>
    <w:rsid w:val="00473680"/>
    <w:rsid w:val="004736B7"/>
    <w:rsid w:val="00473851"/>
    <w:rsid w:val="00473EC4"/>
    <w:rsid w:val="00474674"/>
    <w:rsid w:val="00474F1F"/>
    <w:rsid w:val="00475675"/>
    <w:rsid w:val="00476174"/>
    <w:rsid w:val="004766DB"/>
    <w:rsid w:val="00476889"/>
    <w:rsid w:val="00476F10"/>
    <w:rsid w:val="0047794A"/>
    <w:rsid w:val="00477FF1"/>
    <w:rsid w:val="00480711"/>
    <w:rsid w:val="00480A37"/>
    <w:rsid w:val="00480CCE"/>
    <w:rsid w:val="00480FAA"/>
    <w:rsid w:val="00480FE4"/>
    <w:rsid w:val="0048131D"/>
    <w:rsid w:val="00481836"/>
    <w:rsid w:val="00481840"/>
    <w:rsid w:val="00481A54"/>
    <w:rsid w:val="004838EC"/>
    <w:rsid w:val="0048438F"/>
    <w:rsid w:val="004859AE"/>
    <w:rsid w:val="00485AED"/>
    <w:rsid w:val="00485B14"/>
    <w:rsid w:val="004868A9"/>
    <w:rsid w:val="00486903"/>
    <w:rsid w:val="00486B3C"/>
    <w:rsid w:val="0048785C"/>
    <w:rsid w:val="00487E6B"/>
    <w:rsid w:val="004901D4"/>
    <w:rsid w:val="00490216"/>
    <w:rsid w:val="00490753"/>
    <w:rsid w:val="00491195"/>
    <w:rsid w:val="00491C6B"/>
    <w:rsid w:val="00491DD0"/>
    <w:rsid w:val="00491EFD"/>
    <w:rsid w:val="0049275F"/>
    <w:rsid w:val="004940D1"/>
    <w:rsid w:val="00494297"/>
    <w:rsid w:val="00494DB0"/>
    <w:rsid w:val="004964F9"/>
    <w:rsid w:val="004965EC"/>
    <w:rsid w:val="00496DFC"/>
    <w:rsid w:val="0049726B"/>
    <w:rsid w:val="00497F87"/>
    <w:rsid w:val="004A0116"/>
    <w:rsid w:val="004A05AF"/>
    <w:rsid w:val="004A05D7"/>
    <w:rsid w:val="004A074B"/>
    <w:rsid w:val="004A0F0B"/>
    <w:rsid w:val="004A132A"/>
    <w:rsid w:val="004A186D"/>
    <w:rsid w:val="004A1882"/>
    <w:rsid w:val="004A225E"/>
    <w:rsid w:val="004A273F"/>
    <w:rsid w:val="004A328A"/>
    <w:rsid w:val="004A32B7"/>
    <w:rsid w:val="004A36DA"/>
    <w:rsid w:val="004A39CA"/>
    <w:rsid w:val="004A4511"/>
    <w:rsid w:val="004A4DC9"/>
    <w:rsid w:val="004A4ED2"/>
    <w:rsid w:val="004A576B"/>
    <w:rsid w:val="004A5B69"/>
    <w:rsid w:val="004A5CE2"/>
    <w:rsid w:val="004A6232"/>
    <w:rsid w:val="004A6CFD"/>
    <w:rsid w:val="004A74AA"/>
    <w:rsid w:val="004A767A"/>
    <w:rsid w:val="004A77F4"/>
    <w:rsid w:val="004A7AAB"/>
    <w:rsid w:val="004B0268"/>
    <w:rsid w:val="004B080E"/>
    <w:rsid w:val="004B12AD"/>
    <w:rsid w:val="004B18AE"/>
    <w:rsid w:val="004B1948"/>
    <w:rsid w:val="004B382A"/>
    <w:rsid w:val="004B3C46"/>
    <w:rsid w:val="004B3F4E"/>
    <w:rsid w:val="004B45CA"/>
    <w:rsid w:val="004B51A3"/>
    <w:rsid w:val="004B544D"/>
    <w:rsid w:val="004B61BA"/>
    <w:rsid w:val="004B66A6"/>
    <w:rsid w:val="004B7343"/>
    <w:rsid w:val="004B749F"/>
    <w:rsid w:val="004B79E2"/>
    <w:rsid w:val="004B7A11"/>
    <w:rsid w:val="004C1617"/>
    <w:rsid w:val="004C1D82"/>
    <w:rsid w:val="004C1F0D"/>
    <w:rsid w:val="004C2A11"/>
    <w:rsid w:val="004C2B41"/>
    <w:rsid w:val="004C3B4A"/>
    <w:rsid w:val="004C3C88"/>
    <w:rsid w:val="004C3CCF"/>
    <w:rsid w:val="004C47EF"/>
    <w:rsid w:val="004C4BB7"/>
    <w:rsid w:val="004C4BB8"/>
    <w:rsid w:val="004C64BD"/>
    <w:rsid w:val="004C7553"/>
    <w:rsid w:val="004C763C"/>
    <w:rsid w:val="004C789C"/>
    <w:rsid w:val="004D0055"/>
    <w:rsid w:val="004D0115"/>
    <w:rsid w:val="004D0144"/>
    <w:rsid w:val="004D0169"/>
    <w:rsid w:val="004D08D8"/>
    <w:rsid w:val="004D130F"/>
    <w:rsid w:val="004D19AA"/>
    <w:rsid w:val="004D22C3"/>
    <w:rsid w:val="004D3B08"/>
    <w:rsid w:val="004D426F"/>
    <w:rsid w:val="004D43FB"/>
    <w:rsid w:val="004D4538"/>
    <w:rsid w:val="004D5017"/>
    <w:rsid w:val="004D60A8"/>
    <w:rsid w:val="004D69A7"/>
    <w:rsid w:val="004D6D4D"/>
    <w:rsid w:val="004D73DF"/>
    <w:rsid w:val="004D7DC3"/>
    <w:rsid w:val="004D7F11"/>
    <w:rsid w:val="004E018B"/>
    <w:rsid w:val="004E0600"/>
    <w:rsid w:val="004E0BD6"/>
    <w:rsid w:val="004E0FD7"/>
    <w:rsid w:val="004E280B"/>
    <w:rsid w:val="004E3A0A"/>
    <w:rsid w:val="004E3A68"/>
    <w:rsid w:val="004E3C8D"/>
    <w:rsid w:val="004E44F9"/>
    <w:rsid w:val="004E4862"/>
    <w:rsid w:val="004E52F3"/>
    <w:rsid w:val="004E5F1F"/>
    <w:rsid w:val="004E6620"/>
    <w:rsid w:val="004E6AC5"/>
    <w:rsid w:val="004E6B2F"/>
    <w:rsid w:val="004E6BEA"/>
    <w:rsid w:val="004E7BA3"/>
    <w:rsid w:val="004F04DC"/>
    <w:rsid w:val="004F076E"/>
    <w:rsid w:val="004F2857"/>
    <w:rsid w:val="004F2A38"/>
    <w:rsid w:val="004F37B7"/>
    <w:rsid w:val="004F3951"/>
    <w:rsid w:val="004F3B5F"/>
    <w:rsid w:val="004F3D0D"/>
    <w:rsid w:val="004F3D56"/>
    <w:rsid w:val="004F3D57"/>
    <w:rsid w:val="004F441D"/>
    <w:rsid w:val="004F4DE2"/>
    <w:rsid w:val="004F4E47"/>
    <w:rsid w:val="004F5053"/>
    <w:rsid w:val="004F5127"/>
    <w:rsid w:val="004F5E00"/>
    <w:rsid w:val="004F62D9"/>
    <w:rsid w:val="004F6335"/>
    <w:rsid w:val="004F65FC"/>
    <w:rsid w:val="004F750E"/>
    <w:rsid w:val="004F78E3"/>
    <w:rsid w:val="004F7D54"/>
    <w:rsid w:val="00500310"/>
    <w:rsid w:val="00500535"/>
    <w:rsid w:val="005007F6"/>
    <w:rsid w:val="00500AF5"/>
    <w:rsid w:val="005012BD"/>
    <w:rsid w:val="005022C6"/>
    <w:rsid w:val="0050271F"/>
    <w:rsid w:val="005029B5"/>
    <w:rsid w:val="00502B34"/>
    <w:rsid w:val="00503388"/>
    <w:rsid w:val="00504396"/>
    <w:rsid w:val="00505009"/>
    <w:rsid w:val="005050A5"/>
    <w:rsid w:val="0050549A"/>
    <w:rsid w:val="005056B7"/>
    <w:rsid w:val="0050595F"/>
    <w:rsid w:val="005060E6"/>
    <w:rsid w:val="0050665E"/>
    <w:rsid w:val="00506EEF"/>
    <w:rsid w:val="00507B38"/>
    <w:rsid w:val="00507BBA"/>
    <w:rsid w:val="005100B0"/>
    <w:rsid w:val="00510116"/>
    <w:rsid w:val="005104E0"/>
    <w:rsid w:val="0051052F"/>
    <w:rsid w:val="00510CF7"/>
    <w:rsid w:val="005118B4"/>
    <w:rsid w:val="005118EE"/>
    <w:rsid w:val="00511AC2"/>
    <w:rsid w:val="00512170"/>
    <w:rsid w:val="00513342"/>
    <w:rsid w:val="005134E1"/>
    <w:rsid w:val="00513634"/>
    <w:rsid w:val="00513A00"/>
    <w:rsid w:val="00514097"/>
    <w:rsid w:val="00514D37"/>
    <w:rsid w:val="00516254"/>
    <w:rsid w:val="00516EFC"/>
    <w:rsid w:val="0052021E"/>
    <w:rsid w:val="0052083E"/>
    <w:rsid w:val="00521333"/>
    <w:rsid w:val="00521482"/>
    <w:rsid w:val="00521FFC"/>
    <w:rsid w:val="0052215D"/>
    <w:rsid w:val="00522994"/>
    <w:rsid w:val="00523BD4"/>
    <w:rsid w:val="00524E43"/>
    <w:rsid w:val="00525535"/>
    <w:rsid w:val="005255D7"/>
    <w:rsid w:val="0052563A"/>
    <w:rsid w:val="005259E5"/>
    <w:rsid w:val="005259FD"/>
    <w:rsid w:val="00525FEC"/>
    <w:rsid w:val="00526000"/>
    <w:rsid w:val="005264F0"/>
    <w:rsid w:val="00526D11"/>
    <w:rsid w:val="00527ABD"/>
    <w:rsid w:val="005301AA"/>
    <w:rsid w:val="00530628"/>
    <w:rsid w:val="00530729"/>
    <w:rsid w:val="0053143B"/>
    <w:rsid w:val="00532229"/>
    <w:rsid w:val="00532401"/>
    <w:rsid w:val="00532642"/>
    <w:rsid w:val="00532D49"/>
    <w:rsid w:val="00532FDB"/>
    <w:rsid w:val="00533154"/>
    <w:rsid w:val="00533847"/>
    <w:rsid w:val="00534589"/>
    <w:rsid w:val="00534ECA"/>
    <w:rsid w:val="00535466"/>
    <w:rsid w:val="00535598"/>
    <w:rsid w:val="00535703"/>
    <w:rsid w:val="00535A51"/>
    <w:rsid w:val="00535C28"/>
    <w:rsid w:val="00537575"/>
    <w:rsid w:val="00537979"/>
    <w:rsid w:val="00537FFA"/>
    <w:rsid w:val="005403C8"/>
    <w:rsid w:val="00540A6F"/>
    <w:rsid w:val="00540F9B"/>
    <w:rsid w:val="00541640"/>
    <w:rsid w:val="0054180A"/>
    <w:rsid w:val="0054366D"/>
    <w:rsid w:val="00543C12"/>
    <w:rsid w:val="00543E1D"/>
    <w:rsid w:val="00544102"/>
    <w:rsid w:val="005441CF"/>
    <w:rsid w:val="005443BA"/>
    <w:rsid w:val="00544ED1"/>
    <w:rsid w:val="00545C1D"/>
    <w:rsid w:val="00545EEF"/>
    <w:rsid w:val="00546A5F"/>
    <w:rsid w:val="00547F96"/>
    <w:rsid w:val="0055011E"/>
    <w:rsid w:val="0055027C"/>
    <w:rsid w:val="00550614"/>
    <w:rsid w:val="00550C3E"/>
    <w:rsid w:val="00550D12"/>
    <w:rsid w:val="00550D4B"/>
    <w:rsid w:val="00550FCF"/>
    <w:rsid w:val="0055135B"/>
    <w:rsid w:val="0055160E"/>
    <w:rsid w:val="00551CD5"/>
    <w:rsid w:val="0055283F"/>
    <w:rsid w:val="00552D9B"/>
    <w:rsid w:val="0055407B"/>
    <w:rsid w:val="0055442F"/>
    <w:rsid w:val="00554463"/>
    <w:rsid w:val="005544AE"/>
    <w:rsid w:val="00555CEB"/>
    <w:rsid w:val="005570A1"/>
    <w:rsid w:val="00557342"/>
    <w:rsid w:val="005577E0"/>
    <w:rsid w:val="00557830"/>
    <w:rsid w:val="00557B89"/>
    <w:rsid w:val="005604DD"/>
    <w:rsid w:val="0056068D"/>
    <w:rsid w:val="00561519"/>
    <w:rsid w:val="0056233B"/>
    <w:rsid w:val="00562E2E"/>
    <w:rsid w:val="005647DD"/>
    <w:rsid w:val="00564824"/>
    <w:rsid w:val="00564FA1"/>
    <w:rsid w:val="00565594"/>
    <w:rsid w:val="0056628C"/>
    <w:rsid w:val="0056659E"/>
    <w:rsid w:val="00566D46"/>
    <w:rsid w:val="0056703A"/>
    <w:rsid w:val="005677DA"/>
    <w:rsid w:val="0056791C"/>
    <w:rsid w:val="00567A55"/>
    <w:rsid w:val="00567D13"/>
    <w:rsid w:val="0057027F"/>
    <w:rsid w:val="00570512"/>
    <w:rsid w:val="0057074F"/>
    <w:rsid w:val="00571984"/>
    <w:rsid w:val="0057228D"/>
    <w:rsid w:val="00572496"/>
    <w:rsid w:val="0057252F"/>
    <w:rsid w:val="00572DB9"/>
    <w:rsid w:val="00572DC1"/>
    <w:rsid w:val="00573129"/>
    <w:rsid w:val="005736E6"/>
    <w:rsid w:val="00574663"/>
    <w:rsid w:val="00575406"/>
    <w:rsid w:val="00575860"/>
    <w:rsid w:val="00575AB7"/>
    <w:rsid w:val="00575F73"/>
    <w:rsid w:val="00576227"/>
    <w:rsid w:val="00576689"/>
    <w:rsid w:val="005777AB"/>
    <w:rsid w:val="00577BE7"/>
    <w:rsid w:val="00577FF8"/>
    <w:rsid w:val="00580022"/>
    <w:rsid w:val="005801AF"/>
    <w:rsid w:val="005802D6"/>
    <w:rsid w:val="005804C7"/>
    <w:rsid w:val="005806D1"/>
    <w:rsid w:val="00580CC3"/>
    <w:rsid w:val="00580D69"/>
    <w:rsid w:val="0058171A"/>
    <w:rsid w:val="0058228B"/>
    <w:rsid w:val="0058360F"/>
    <w:rsid w:val="005836A3"/>
    <w:rsid w:val="00583B66"/>
    <w:rsid w:val="00584704"/>
    <w:rsid w:val="00584B10"/>
    <w:rsid w:val="005852CA"/>
    <w:rsid w:val="00585A2B"/>
    <w:rsid w:val="00586032"/>
    <w:rsid w:val="00587551"/>
    <w:rsid w:val="00587622"/>
    <w:rsid w:val="005900CC"/>
    <w:rsid w:val="00590164"/>
    <w:rsid w:val="00590576"/>
    <w:rsid w:val="0059064B"/>
    <w:rsid w:val="005906E5"/>
    <w:rsid w:val="0059079B"/>
    <w:rsid w:val="005909DB"/>
    <w:rsid w:val="00591717"/>
    <w:rsid w:val="00591BF5"/>
    <w:rsid w:val="005923C8"/>
    <w:rsid w:val="00592B1E"/>
    <w:rsid w:val="00592F09"/>
    <w:rsid w:val="005938D3"/>
    <w:rsid w:val="00593C1A"/>
    <w:rsid w:val="00593D47"/>
    <w:rsid w:val="00594A1C"/>
    <w:rsid w:val="005960C9"/>
    <w:rsid w:val="0059643C"/>
    <w:rsid w:val="00596951"/>
    <w:rsid w:val="00596F29"/>
    <w:rsid w:val="00597C21"/>
    <w:rsid w:val="005A08A0"/>
    <w:rsid w:val="005A0AD4"/>
    <w:rsid w:val="005A1598"/>
    <w:rsid w:val="005A1B8C"/>
    <w:rsid w:val="005A1B98"/>
    <w:rsid w:val="005A1BDC"/>
    <w:rsid w:val="005A1C4D"/>
    <w:rsid w:val="005A1CFA"/>
    <w:rsid w:val="005A2515"/>
    <w:rsid w:val="005A27B3"/>
    <w:rsid w:val="005A340D"/>
    <w:rsid w:val="005A3AD8"/>
    <w:rsid w:val="005A45FF"/>
    <w:rsid w:val="005A4860"/>
    <w:rsid w:val="005A4C28"/>
    <w:rsid w:val="005A4E0A"/>
    <w:rsid w:val="005A51A9"/>
    <w:rsid w:val="005A5ACF"/>
    <w:rsid w:val="005A5D9E"/>
    <w:rsid w:val="005A705B"/>
    <w:rsid w:val="005A7425"/>
    <w:rsid w:val="005A7617"/>
    <w:rsid w:val="005A779A"/>
    <w:rsid w:val="005A7AEE"/>
    <w:rsid w:val="005B04D5"/>
    <w:rsid w:val="005B0963"/>
    <w:rsid w:val="005B0A4E"/>
    <w:rsid w:val="005B0C28"/>
    <w:rsid w:val="005B0E71"/>
    <w:rsid w:val="005B1444"/>
    <w:rsid w:val="005B148C"/>
    <w:rsid w:val="005B14CD"/>
    <w:rsid w:val="005B1612"/>
    <w:rsid w:val="005B192C"/>
    <w:rsid w:val="005B1B96"/>
    <w:rsid w:val="005B2F6B"/>
    <w:rsid w:val="005B3164"/>
    <w:rsid w:val="005B31A5"/>
    <w:rsid w:val="005B3E12"/>
    <w:rsid w:val="005B4429"/>
    <w:rsid w:val="005B45D2"/>
    <w:rsid w:val="005B465B"/>
    <w:rsid w:val="005B488D"/>
    <w:rsid w:val="005B4B20"/>
    <w:rsid w:val="005B5371"/>
    <w:rsid w:val="005B5551"/>
    <w:rsid w:val="005B5806"/>
    <w:rsid w:val="005B6236"/>
    <w:rsid w:val="005B6667"/>
    <w:rsid w:val="005B671A"/>
    <w:rsid w:val="005B7CDF"/>
    <w:rsid w:val="005C0506"/>
    <w:rsid w:val="005C07B2"/>
    <w:rsid w:val="005C0A3B"/>
    <w:rsid w:val="005C1452"/>
    <w:rsid w:val="005C18DA"/>
    <w:rsid w:val="005C1930"/>
    <w:rsid w:val="005C1E54"/>
    <w:rsid w:val="005C1E59"/>
    <w:rsid w:val="005C22B6"/>
    <w:rsid w:val="005C248D"/>
    <w:rsid w:val="005C36CC"/>
    <w:rsid w:val="005C3C7B"/>
    <w:rsid w:val="005C4085"/>
    <w:rsid w:val="005C4552"/>
    <w:rsid w:val="005C4C22"/>
    <w:rsid w:val="005C512D"/>
    <w:rsid w:val="005C5577"/>
    <w:rsid w:val="005C57AA"/>
    <w:rsid w:val="005C5B79"/>
    <w:rsid w:val="005C5F64"/>
    <w:rsid w:val="005C60D6"/>
    <w:rsid w:val="005C6A56"/>
    <w:rsid w:val="005C6F77"/>
    <w:rsid w:val="005C6FC5"/>
    <w:rsid w:val="005C70C2"/>
    <w:rsid w:val="005C74CF"/>
    <w:rsid w:val="005D0167"/>
    <w:rsid w:val="005D0833"/>
    <w:rsid w:val="005D1044"/>
    <w:rsid w:val="005D258F"/>
    <w:rsid w:val="005D445A"/>
    <w:rsid w:val="005D4721"/>
    <w:rsid w:val="005D4C76"/>
    <w:rsid w:val="005D51D0"/>
    <w:rsid w:val="005D5658"/>
    <w:rsid w:val="005D5D48"/>
    <w:rsid w:val="005D6700"/>
    <w:rsid w:val="005D6BE5"/>
    <w:rsid w:val="005D7C48"/>
    <w:rsid w:val="005D7EE7"/>
    <w:rsid w:val="005E0057"/>
    <w:rsid w:val="005E0126"/>
    <w:rsid w:val="005E093D"/>
    <w:rsid w:val="005E0C68"/>
    <w:rsid w:val="005E155C"/>
    <w:rsid w:val="005E1AC7"/>
    <w:rsid w:val="005E1E0E"/>
    <w:rsid w:val="005E1ECE"/>
    <w:rsid w:val="005E21B4"/>
    <w:rsid w:val="005E2376"/>
    <w:rsid w:val="005E38D9"/>
    <w:rsid w:val="005E3955"/>
    <w:rsid w:val="005E433E"/>
    <w:rsid w:val="005E46B1"/>
    <w:rsid w:val="005E53BD"/>
    <w:rsid w:val="005E6955"/>
    <w:rsid w:val="005E6B4A"/>
    <w:rsid w:val="005E6F69"/>
    <w:rsid w:val="005E7315"/>
    <w:rsid w:val="005E78BB"/>
    <w:rsid w:val="005F031C"/>
    <w:rsid w:val="005F09F0"/>
    <w:rsid w:val="005F188B"/>
    <w:rsid w:val="005F2C79"/>
    <w:rsid w:val="005F31EF"/>
    <w:rsid w:val="005F360A"/>
    <w:rsid w:val="005F37D6"/>
    <w:rsid w:val="005F394D"/>
    <w:rsid w:val="005F3A34"/>
    <w:rsid w:val="005F3FF8"/>
    <w:rsid w:val="005F43B8"/>
    <w:rsid w:val="005F4814"/>
    <w:rsid w:val="005F4954"/>
    <w:rsid w:val="005F4A0D"/>
    <w:rsid w:val="005F4D35"/>
    <w:rsid w:val="005F5AA2"/>
    <w:rsid w:val="005F6008"/>
    <w:rsid w:val="005F616B"/>
    <w:rsid w:val="005F6667"/>
    <w:rsid w:val="005F67FA"/>
    <w:rsid w:val="005F682E"/>
    <w:rsid w:val="005F6B60"/>
    <w:rsid w:val="005F6EA6"/>
    <w:rsid w:val="005F7829"/>
    <w:rsid w:val="006000DE"/>
    <w:rsid w:val="006006BB"/>
    <w:rsid w:val="00600CDE"/>
    <w:rsid w:val="00600E07"/>
    <w:rsid w:val="0060144D"/>
    <w:rsid w:val="006018B0"/>
    <w:rsid w:val="00601F16"/>
    <w:rsid w:val="00602528"/>
    <w:rsid w:val="00602B0F"/>
    <w:rsid w:val="00602FC4"/>
    <w:rsid w:val="006031A3"/>
    <w:rsid w:val="006039FD"/>
    <w:rsid w:val="00603CA0"/>
    <w:rsid w:val="00603EB3"/>
    <w:rsid w:val="00603FDD"/>
    <w:rsid w:val="00604FA8"/>
    <w:rsid w:val="00605803"/>
    <w:rsid w:val="00607964"/>
    <w:rsid w:val="00607E6C"/>
    <w:rsid w:val="0061018E"/>
    <w:rsid w:val="006103D0"/>
    <w:rsid w:val="00611CAE"/>
    <w:rsid w:val="00611E82"/>
    <w:rsid w:val="006121A9"/>
    <w:rsid w:val="00612207"/>
    <w:rsid w:val="00612426"/>
    <w:rsid w:val="00612580"/>
    <w:rsid w:val="0061292C"/>
    <w:rsid w:val="00613B0E"/>
    <w:rsid w:val="00613E4F"/>
    <w:rsid w:val="0061418C"/>
    <w:rsid w:val="0061432A"/>
    <w:rsid w:val="00616102"/>
    <w:rsid w:val="00617364"/>
    <w:rsid w:val="0061785F"/>
    <w:rsid w:val="0062079B"/>
    <w:rsid w:val="00620955"/>
    <w:rsid w:val="00620C59"/>
    <w:rsid w:val="00620CE7"/>
    <w:rsid w:val="00621E19"/>
    <w:rsid w:val="00621E2B"/>
    <w:rsid w:val="0062245B"/>
    <w:rsid w:val="00623320"/>
    <w:rsid w:val="006238E2"/>
    <w:rsid w:val="00623EDC"/>
    <w:rsid w:val="00624353"/>
    <w:rsid w:val="006248C9"/>
    <w:rsid w:val="00624DE3"/>
    <w:rsid w:val="00624F83"/>
    <w:rsid w:val="00625050"/>
    <w:rsid w:val="006251B6"/>
    <w:rsid w:val="006255B2"/>
    <w:rsid w:val="00625967"/>
    <w:rsid w:val="00625C6B"/>
    <w:rsid w:val="0062628F"/>
    <w:rsid w:val="00626AC5"/>
    <w:rsid w:val="00627761"/>
    <w:rsid w:val="00627AD6"/>
    <w:rsid w:val="00627E6D"/>
    <w:rsid w:val="00630F10"/>
    <w:rsid w:val="006316A8"/>
    <w:rsid w:val="00631978"/>
    <w:rsid w:val="00631DDE"/>
    <w:rsid w:val="00633000"/>
    <w:rsid w:val="006332A5"/>
    <w:rsid w:val="00633769"/>
    <w:rsid w:val="00633B1B"/>
    <w:rsid w:val="006347FF"/>
    <w:rsid w:val="00634ACD"/>
    <w:rsid w:val="006364E8"/>
    <w:rsid w:val="00636A18"/>
    <w:rsid w:val="00637367"/>
    <w:rsid w:val="0063752F"/>
    <w:rsid w:val="00637745"/>
    <w:rsid w:val="006378EF"/>
    <w:rsid w:val="00637BAE"/>
    <w:rsid w:val="0064032C"/>
    <w:rsid w:val="00640782"/>
    <w:rsid w:val="00640D52"/>
    <w:rsid w:val="00642543"/>
    <w:rsid w:val="006428E9"/>
    <w:rsid w:val="00642C45"/>
    <w:rsid w:val="00642E5A"/>
    <w:rsid w:val="00643428"/>
    <w:rsid w:val="00643E09"/>
    <w:rsid w:val="00643F0F"/>
    <w:rsid w:val="00645B90"/>
    <w:rsid w:val="00645C30"/>
    <w:rsid w:val="00645F1C"/>
    <w:rsid w:val="006466D6"/>
    <w:rsid w:val="00647397"/>
    <w:rsid w:val="00650176"/>
    <w:rsid w:val="00650AC4"/>
    <w:rsid w:val="00650FDC"/>
    <w:rsid w:val="0065164E"/>
    <w:rsid w:val="00651FBB"/>
    <w:rsid w:val="00652090"/>
    <w:rsid w:val="006521AE"/>
    <w:rsid w:val="0065296A"/>
    <w:rsid w:val="00652D78"/>
    <w:rsid w:val="00652EA0"/>
    <w:rsid w:val="0065339B"/>
    <w:rsid w:val="0065357D"/>
    <w:rsid w:val="00653B74"/>
    <w:rsid w:val="006540AD"/>
    <w:rsid w:val="006544C0"/>
    <w:rsid w:val="00654771"/>
    <w:rsid w:val="00654912"/>
    <w:rsid w:val="0065500B"/>
    <w:rsid w:val="006553C0"/>
    <w:rsid w:val="00655632"/>
    <w:rsid w:val="00655A70"/>
    <w:rsid w:val="006570F6"/>
    <w:rsid w:val="0065742F"/>
    <w:rsid w:val="00657888"/>
    <w:rsid w:val="00657BED"/>
    <w:rsid w:val="00660ADA"/>
    <w:rsid w:val="00660E8F"/>
    <w:rsid w:val="00661A88"/>
    <w:rsid w:val="0066202B"/>
    <w:rsid w:val="00662997"/>
    <w:rsid w:val="00662D6B"/>
    <w:rsid w:val="00662F03"/>
    <w:rsid w:val="006632BF"/>
    <w:rsid w:val="00663DFA"/>
    <w:rsid w:val="006652BD"/>
    <w:rsid w:val="006654EE"/>
    <w:rsid w:val="006656EB"/>
    <w:rsid w:val="00665966"/>
    <w:rsid w:val="00665D84"/>
    <w:rsid w:val="00665E0F"/>
    <w:rsid w:val="00666338"/>
    <w:rsid w:val="00666669"/>
    <w:rsid w:val="00666E35"/>
    <w:rsid w:val="0066737B"/>
    <w:rsid w:val="006674D3"/>
    <w:rsid w:val="00667777"/>
    <w:rsid w:val="00667E6F"/>
    <w:rsid w:val="00670006"/>
    <w:rsid w:val="006706FB"/>
    <w:rsid w:val="006709AF"/>
    <w:rsid w:val="00670FFF"/>
    <w:rsid w:val="00671320"/>
    <w:rsid w:val="006717CA"/>
    <w:rsid w:val="0067187F"/>
    <w:rsid w:val="00672135"/>
    <w:rsid w:val="00672A13"/>
    <w:rsid w:val="00672A18"/>
    <w:rsid w:val="00672A1E"/>
    <w:rsid w:val="00672D28"/>
    <w:rsid w:val="006731A1"/>
    <w:rsid w:val="0067358C"/>
    <w:rsid w:val="00673A24"/>
    <w:rsid w:val="00674931"/>
    <w:rsid w:val="00674B7C"/>
    <w:rsid w:val="006751B4"/>
    <w:rsid w:val="006755E4"/>
    <w:rsid w:val="00676A34"/>
    <w:rsid w:val="00676EE1"/>
    <w:rsid w:val="00676F39"/>
    <w:rsid w:val="00677C42"/>
    <w:rsid w:val="00677E15"/>
    <w:rsid w:val="00680494"/>
    <w:rsid w:val="0068062B"/>
    <w:rsid w:val="006807B4"/>
    <w:rsid w:val="00680BE5"/>
    <w:rsid w:val="00680C5F"/>
    <w:rsid w:val="00681200"/>
    <w:rsid w:val="006820B6"/>
    <w:rsid w:val="006820FB"/>
    <w:rsid w:val="00682657"/>
    <w:rsid w:val="00682B8C"/>
    <w:rsid w:val="00683429"/>
    <w:rsid w:val="00683615"/>
    <w:rsid w:val="006836DB"/>
    <w:rsid w:val="00684ABF"/>
    <w:rsid w:val="00685CF3"/>
    <w:rsid w:val="00685DD1"/>
    <w:rsid w:val="00686136"/>
    <w:rsid w:val="006869AD"/>
    <w:rsid w:val="00691A6F"/>
    <w:rsid w:val="00691B4A"/>
    <w:rsid w:val="00691BB8"/>
    <w:rsid w:val="00692397"/>
    <w:rsid w:val="006925C3"/>
    <w:rsid w:val="0069260D"/>
    <w:rsid w:val="006937EC"/>
    <w:rsid w:val="00694523"/>
    <w:rsid w:val="00695833"/>
    <w:rsid w:val="00695C67"/>
    <w:rsid w:val="0069606A"/>
    <w:rsid w:val="006966EB"/>
    <w:rsid w:val="006967C5"/>
    <w:rsid w:val="006A0310"/>
    <w:rsid w:val="006A04BD"/>
    <w:rsid w:val="006A0DD1"/>
    <w:rsid w:val="006A1102"/>
    <w:rsid w:val="006A1108"/>
    <w:rsid w:val="006A1683"/>
    <w:rsid w:val="006A1C00"/>
    <w:rsid w:val="006A1D2D"/>
    <w:rsid w:val="006A1EEE"/>
    <w:rsid w:val="006A2D66"/>
    <w:rsid w:val="006A2E54"/>
    <w:rsid w:val="006A2FD3"/>
    <w:rsid w:val="006A30B4"/>
    <w:rsid w:val="006A3D7A"/>
    <w:rsid w:val="006A4D99"/>
    <w:rsid w:val="006A553E"/>
    <w:rsid w:val="006A7ADA"/>
    <w:rsid w:val="006B07C6"/>
    <w:rsid w:val="006B0CB1"/>
    <w:rsid w:val="006B127F"/>
    <w:rsid w:val="006B138F"/>
    <w:rsid w:val="006B1AF6"/>
    <w:rsid w:val="006B2C4D"/>
    <w:rsid w:val="006B31FE"/>
    <w:rsid w:val="006B3724"/>
    <w:rsid w:val="006B3DF7"/>
    <w:rsid w:val="006B4166"/>
    <w:rsid w:val="006B468B"/>
    <w:rsid w:val="006B69FE"/>
    <w:rsid w:val="006B7468"/>
    <w:rsid w:val="006B75C4"/>
    <w:rsid w:val="006B764D"/>
    <w:rsid w:val="006B7863"/>
    <w:rsid w:val="006B7922"/>
    <w:rsid w:val="006B796C"/>
    <w:rsid w:val="006B7ADB"/>
    <w:rsid w:val="006B7B74"/>
    <w:rsid w:val="006B7F57"/>
    <w:rsid w:val="006C024A"/>
    <w:rsid w:val="006C036A"/>
    <w:rsid w:val="006C0507"/>
    <w:rsid w:val="006C0981"/>
    <w:rsid w:val="006C1D83"/>
    <w:rsid w:val="006C1E26"/>
    <w:rsid w:val="006C21B0"/>
    <w:rsid w:val="006C255D"/>
    <w:rsid w:val="006C2C61"/>
    <w:rsid w:val="006C2C98"/>
    <w:rsid w:val="006C2DAE"/>
    <w:rsid w:val="006C2FCB"/>
    <w:rsid w:val="006C33D1"/>
    <w:rsid w:val="006C3A55"/>
    <w:rsid w:val="006C3BDB"/>
    <w:rsid w:val="006C4231"/>
    <w:rsid w:val="006C460D"/>
    <w:rsid w:val="006C46B4"/>
    <w:rsid w:val="006C47D2"/>
    <w:rsid w:val="006C4F26"/>
    <w:rsid w:val="006C512B"/>
    <w:rsid w:val="006C51D6"/>
    <w:rsid w:val="006C5309"/>
    <w:rsid w:val="006C6DBA"/>
    <w:rsid w:val="006C7112"/>
    <w:rsid w:val="006C7837"/>
    <w:rsid w:val="006C7952"/>
    <w:rsid w:val="006C7FE6"/>
    <w:rsid w:val="006D0638"/>
    <w:rsid w:val="006D0A72"/>
    <w:rsid w:val="006D1918"/>
    <w:rsid w:val="006D1E4F"/>
    <w:rsid w:val="006D2BBD"/>
    <w:rsid w:val="006D2C7B"/>
    <w:rsid w:val="006D5464"/>
    <w:rsid w:val="006D576C"/>
    <w:rsid w:val="006D57C9"/>
    <w:rsid w:val="006D5FF0"/>
    <w:rsid w:val="006D6265"/>
    <w:rsid w:val="006D6639"/>
    <w:rsid w:val="006D6C80"/>
    <w:rsid w:val="006D77F6"/>
    <w:rsid w:val="006D7E45"/>
    <w:rsid w:val="006E031E"/>
    <w:rsid w:val="006E07ED"/>
    <w:rsid w:val="006E0B94"/>
    <w:rsid w:val="006E1548"/>
    <w:rsid w:val="006E1C66"/>
    <w:rsid w:val="006E1C83"/>
    <w:rsid w:val="006E1E2C"/>
    <w:rsid w:val="006E2083"/>
    <w:rsid w:val="006E20C8"/>
    <w:rsid w:val="006E252C"/>
    <w:rsid w:val="006E2630"/>
    <w:rsid w:val="006E2AD9"/>
    <w:rsid w:val="006E38EB"/>
    <w:rsid w:val="006E4202"/>
    <w:rsid w:val="006E4EAE"/>
    <w:rsid w:val="006E51AE"/>
    <w:rsid w:val="006E58CC"/>
    <w:rsid w:val="006E5E3B"/>
    <w:rsid w:val="006E67D9"/>
    <w:rsid w:val="006E7B8E"/>
    <w:rsid w:val="006F02C6"/>
    <w:rsid w:val="006F06C1"/>
    <w:rsid w:val="006F10D7"/>
    <w:rsid w:val="006F1362"/>
    <w:rsid w:val="006F2471"/>
    <w:rsid w:val="006F2525"/>
    <w:rsid w:val="006F26C0"/>
    <w:rsid w:val="006F2B6A"/>
    <w:rsid w:val="006F2F82"/>
    <w:rsid w:val="006F3053"/>
    <w:rsid w:val="006F4798"/>
    <w:rsid w:val="006F4B24"/>
    <w:rsid w:val="006F4DC9"/>
    <w:rsid w:val="006F57AF"/>
    <w:rsid w:val="006F5DDA"/>
    <w:rsid w:val="006F5DFE"/>
    <w:rsid w:val="006F622A"/>
    <w:rsid w:val="006F6C68"/>
    <w:rsid w:val="006F7240"/>
    <w:rsid w:val="006F72C0"/>
    <w:rsid w:val="006F7426"/>
    <w:rsid w:val="006F764B"/>
    <w:rsid w:val="0070012C"/>
    <w:rsid w:val="00700215"/>
    <w:rsid w:val="007002B2"/>
    <w:rsid w:val="00700413"/>
    <w:rsid w:val="00700549"/>
    <w:rsid w:val="00700B0F"/>
    <w:rsid w:val="007010F9"/>
    <w:rsid w:val="00701395"/>
    <w:rsid w:val="0070156F"/>
    <w:rsid w:val="00702761"/>
    <w:rsid w:val="00702E25"/>
    <w:rsid w:val="00702E2B"/>
    <w:rsid w:val="007035EA"/>
    <w:rsid w:val="00703E7D"/>
    <w:rsid w:val="00704541"/>
    <w:rsid w:val="00704971"/>
    <w:rsid w:val="007049D7"/>
    <w:rsid w:val="0070508B"/>
    <w:rsid w:val="00705621"/>
    <w:rsid w:val="00705773"/>
    <w:rsid w:val="00705822"/>
    <w:rsid w:val="0070625F"/>
    <w:rsid w:val="00707746"/>
    <w:rsid w:val="00707DB2"/>
    <w:rsid w:val="007107A0"/>
    <w:rsid w:val="00711844"/>
    <w:rsid w:val="00714E63"/>
    <w:rsid w:val="007152B3"/>
    <w:rsid w:val="00715C6F"/>
    <w:rsid w:val="0071693C"/>
    <w:rsid w:val="00716DA6"/>
    <w:rsid w:val="007202FB"/>
    <w:rsid w:val="00720455"/>
    <w:rsid w:val="00720B57"/>
    <w:rsid w:val="00720C49"/>
    <w:rsid w:val="00721407"/>
    <w:rsid w:val="00721A4B"/>
    <w:rsid w:val="00721C4C"/>
    <w:rsid w:val="00721DBC"/>
    <w:rsid w:val="007223F8"/>
    <w:rsid w:val="00722902"/>
    <w:rsid w:val="00723BD2"/>
    <w:rsid w:val="00723F17"/>
    <w:rsid w:val="007252DC"/>
    <w:rsid w:val="007254DD"/>
    <w:rsid w:val="00725FA4"/>
    <w:rsid w:val="0072678C"/>
    <w:rsid w:val="0072741C"/>
    <w:rsid w:val="00730961"/>
    <w:rsid w:val="00730A1C"/>
    <w:rsid w:val="007310A9"/>
    <w:rsid w:val="00731178"/>
    <w:rsid w:val="00731A57"/>
    <w:rsid w:val="00731C21"/>
    <w:rsid w:val="007325D8"/>
    <w:rsid w:val="00733A5A"/>
    <w:rsid w:val="00733C8E"/>
    <w:rsid w:val="007348D0"/>
    <w:rsid w:val="00734C04"/>
    <w:rsid w:val="007351DB"/>
    <w:rsid w:val="0073562C"/>
    <w:rsid w:val="00735D4B"/>
    <w:rsid w:val="00735E79"/>
    <w:rsid w:val="00737A89"/>
    <w:rsid w:val="00737CED"/>
    <w:rsid w:val="00737D3F"/>
    <w:rsid w:val="00740912"/>
    <w:rsid w:val="0074097F"/>
    <w:rsid w:val="007410AC"/>
    <w:rsid w:val="00741C3F"/>
    <w:rsid w:val="00741E26"/>
    <w:rsid w:val="00741FDA"/>
    <w:rsid w:val="007421CE"/>
    <w:rsid w:val="00742263"/>
    <w:rsid w:val="00742BA2"/>
    <w:rsid w:val="007438D0"/>
    <w:rsid w:val="00743CE4"/>
    <w:rsid w:val="00743E08"/>
    <w:rsid w:val="00743EB3"/>
    <w:rsid w:val="00744762"/>
    <w:rsid w:val="00744923"/>
    <w:rsid w:val="00744ABA"/>
    <w:rsid w:val="00744C61"/>
    <w:rsid w:val="00744FB0"/>
    <w:rsid w:val="00745316"/>
    <w:rsid w:val="00745433"/>
    <w:rsid w:val="00745AAE"/>
    <w:rsid w:val="007462E8"/>
    <w:rsid w:val="007464BA"/>
    <w:rsid w:val="00746522"/>
    <w:rsid w:val="0074720F"/>
    <w:rsid w:val="0075090F"/>
    <w:rsid w:val="0075106E"/>
    <w:rsid w:val="00751AA9"/>
    <w:rsid w:val="0075231A"/>
    <w:rsid w:val="00752805"/>
    <w:rsid w:val="00752B9D"/>
    <w:rsid w:val="00753112"/>
    <w:rsid w:val="00753B3B"/>
    <w:rsid w:val="00753F4B"/>
    <w:rsid w:val="007543E3"/>
    <w:rsid w:val="007549AA"/>
    <w:rsid w:val="007560AE"/>
    <w:rsid w:val="007561D5"/>
    <w:rsid w:val="007569C7"/>
    <w:rsid w:val="00756B9E"/>
    <w:rsid w:val="0075763A"/>
    <w:rsid w:val="00757AD0"/>
    <w:rsid w:val="00760027"/>
    <w:rsid w:val="00761D72"/>
    <w:rsid w:val="00761E17"/>
    <w:rsid w:val="00762CBB"/>
    <w:rsid w:val="00762CD4"/>
    <w:rsid w:val="00763451"/>
    <w:rsid w:val="00763B1B"/>
    <w:rsid w:val="00763CE7"/>
    <w:rsid w:val="007641B5"/>
    <w:rsid w:val="00764995"/>
    <w:rsid w:val="0076505A"/>
    <w:rsid w:val="007656A3"/>
    <w:rsid w:val="00765A30"/>
    <w:rsid w:val="007663FF"/>
    <w:rsid w:val="00767321"/>
    <w:rsid w:val="007674DA"/>
    <w:rsid w:val="00770E3F"/>
    <w:rsid w:val="00771054"/>
    <w:rsid w:val="00771236"/>
    <w:rsid w:val="0077178B"/>
    <w:rsid w:val="00771E3D"/>
    <w:rsid w:val="0077216A"/>
    <w:rsid w:val="007724CD"/>
    <w:rsid w:val="00772612"/>
    <w:rsid w:val="00773678"/>
    <w:rsid w:val="00773E5D"/>
    <w:rsid w:val="00773EE7"/>
    <w:rsid w:val="0077456B"/>
    <w:rsid w:val="0077573A"/>
    <w:rsid w:val="00775C7A"/>
    <w:rsid w:val="00776E2F"/>
    <w:rsid w:val="00777145"/>
    <w:rsid w:val="0077723C"/>
    <w:rsid w:val="00777497"/>
    <w:rsid w:val="00777AE6"/>
    <w:rsid w:val="007802BC"/>
    <w:rsid w:val="007802F1"/>
    <w:rsid w:val="00780E21"/>
    <w:rsid w:val="007814DE"/>
    <w:rsid w:val="00782B23"/>
    <w:rsid w:val="00782C39"/>
    <w:rsid w:val="00782D4B"/>
    <w:rsid w:val="00782DB5"/>
    <w:rsid w:val="007831AC"/>
    <w:rsid w:val="007831E9"/>
    <w:rsid w:val="007835C2"/>
    <w:rsid w:val="00783E7C"/>
    <w:rsid w:val="007843A4"/>
    <w:rsid w:val="00784DC1"/>
    <w:rsid w:val="007851CC"/>
    <w:rsid w:val="007852C5"/>
    <w:rsid w:val="007859F8"/>
    <w:rsid w:val="00785E75"/>
    <w:rsid w:val="00785F78"/>
    <w:rsid w:val="007860FE"/>
    <w:rsid w:val="007861E2"/>
    <w:rsid w:val="007866B6"/>
    <w:rsid w:val="00786B55"/>
    <w:rsid w:val="00786DB2"/>
    <w:rsid w:val="0078715F"/>
    <w:rsid w:val="0078730B"/>
    <w:rsid w:val="007874AB"/>
    <w:rsid w:val="00787E62"/>
    <w:rsid w:val="0079004A"/>
    <w:rsid w:val="007902E8"/>
    <w:rsid w:val="007914B7"/>
    <w:rsid w:val="007915B8"/>
    <w:rsid w:val="0079176C"/>
    <w:rsid w:val="007925F7"/>
    <w:rsid w:val="007935E0"/>
    <w:rsid w:val="00793D91"/>
    <w:rsid w:val="007955E2"/>
    <w:rsid w:val="00795D0F"/>
    <w:rsid w:val="007A0324"/>
    <w:rsid w:val="007A041C"/>
    <w:rsid w:val="007A0D5C"/>
    <w:rsid w:val="007A0DDD"/>
    <w:rsid w:val="007A2F40"/>
    <w:rsid w:val="007A3F27"/>
    <w:rsid w:val="007A4624"/>
    <w:rsid w:val="007A5783"/>
    <w:rsid w:val="007A62FD"/>
    <w:rsid w:val="007A6728"/>
    <w:rsid w:val="007A6813"/>
    <w:rsid w:val="007A6E9E"/>
    <w:rsid w:val="007A7B48"/>
    <w:rsid w:val="007A7E35"/>
    <w:rsid w:val="007B00DA"/>
    <w:rsid w:val="007B03CD"/>
    <w:rsid w:val="007B052E"/>
    <w:rsid w:val="007B10F4"/>
    <w:rsid w:val="007B20E6"/>
    <w:rsid w:val="007B39F8"/>
    <w:rsid w:val="007B4FE3"/>
    <w:rsid w:val="007B5452"/>
    <w:rsid w:val="007B5980"/>
    <w:rsid w:val="007B73C7"/>
    <w:rsid w:val="007B7CBA"/>
    <w:rsid w:val="007C0072"/>
    <w:rsid w:val="007C0109"/>
    <w:rsid w:val="007C04C2"/>
    <w:rsid w:val="007C073C"/>
    <w:rsid w:val="007C12C7"/>
    <w:rsid w:val="007C1798"/>
    <w:rsid w:val="007C238D"/>
    <w:rsid w:val="007C2A6B"/>
    <w:rsid w:val="007C2B3B"/>
    <w:rsid w:val="007C2C35"/>
    <w:rsid w:val="007C351D"/>
    <w:rsid w:val="007C384D"/>
    <w:rsid w:val="007C5A58"/>
    <w:rsid w:val="007C7100"/>
    <w:rsid w:val="007C730B"/>
    <w:rsid w:val="007C76E1"/>
    <w:rsid w:val="007C77E2"/>
    <w:rsid w:val="007C7AD3"/>
    <w:rsid w:val="007D0623"/>
    <w:rsid w:val="007D09CD"/>
    <w:rsid w:val="007D12E3"/>
    <w:rsid w:val="007D1433"/>
    <w:rsid w:val="007D1BAE"/>
    <w:rsid w:val="007D1C4D"/>
    <w:rsid w:val="007D1D20"/>
    <w:rsid w:val="007D1E64"/>
    <w:rsid w:val="007D27A1"/>
    <w:rsid w:val="007D31EE"/>
    <w:rsid w:val="007D37BC"/>
    <w:rsid w:val="007D3D10"/>
    <w:rsid w:val="007D4E7C"/>
    <w:rsid w:val="007D607C"/>
    <w:rsid w:val="007D6D5A"/>
    <w:rsid w:val="007D7201"/>
    <w:rsid w:val="007D73C9"/>
    <w:rsid w:val="007D79CD"/>
    <w:rsid w:val="007E04C2"/>
    <w:rsid w:val="007E09B9"/>
    <w:rsid w:val="007E0AA1"/>
    <w:rsid w:val="007E0D21"/>
    <w:rsid w:val="007E0EF2"/>
    <w:rsid w:val="007E26A9"/>
    <w:rsid w:val="007E26EA"/>
    <w:rsid w:val="007E2907"/>
    <w:rsid w:val="007E2E6B"/>
    <w:rsid w:val="007E34E4"/>
    <w:rsid w:val="007E3F20"/>
    <w:rsid w:val="007E57A8"/>
    <w:rsid w:val="007E6037"/>
    <w:rsid w:val="007E66AF"/>
    <w:rsid w:val="007E6E25"/>
    <w:rsid w:val="007E76F7"/>
    <w:rsid w:val="007E7C96"/>
    <w:rsid w:val="007F0AC1"/>
    <w:rsid w:val="007F1409"/>
    <w:rsid w:val="007F1702"/>
    <w:rsid w:val="007F1ACD"/>
    <w:rsid w:val="007F1ECE"/>
    <w:rsid w:val="007F20BC"/>
    <w:rsid w:val="007F2516"/>
    <w:rsid w:val="007F2765"/>
    <w:rsid w:val="007F2825"/>
    <w:rsid w:val="007F3358"/>
    <w:rsid w:val="007F366F"/>
    <w:rsid w:val="007F3A8B"/>
    <w:rsid w:val="007F4082"/>
    <w:rsid w:val="007F5860"/>
    <w:rsid w:val="007F5DEC"/>
    <w:rsid w:val="007F64FB"/>
    <w:rsid w:val="007F6E99"/>
    <w:rsid w:val="007F72E9"/>
    <w:rsid w:val="007F730A"/>
    <w:rsid w:val="007F7CC7"/>
    <w:rsid w:val="008003A0"/>
    <w:rsid w:val="008006CB"/>
    <w:rsid w:val="00800865"/>
    <w:rsid w:val="00800A4C"/>
    <w:rsid w:val="00800B8D"/>
    <w:rsid w:val="00800F0E"/>
    <w:rsid w:val="008017A5"/>
    <w:rsid w:val="00801B78"/>
    <w:rsid w:val="00802023"/>
    <w:rsid w:val="008026FD"/>
    <w:rsid w:val="008030DD"/>
    <w:rsid w:val="00803A53"/>
    <w:rsid w:val="00803EA2"/>
    <w:rsid w:val="00803EA8"/>
    <w:rsid w:val="00803F7D"/>
    <w:rsid w:val="008045C1"/>
    <w:rsid w:val="008046E6"/>
    <w:rsid w:val="00804996"/>
    <w:rsid w:val="00804ED5"/>
    <w:rsid w:val="0080505C"/>
    <w:rsid w:val="008052FC"/>
    <w:rsid w:val="00805C45"/>
    <w:rsid w:val="00805DB6"/>
    <w:rsid w:val="008060F1"/>
    <w:rsid w:val="0080644E"/>
    <w:rsid w:val="0080665B"/>
    <w:rsid w:val="00806B98"/>
    <w:rsid w:val="00806F83"/>
    <w:rsid w:val="00807196"/>
    <w:rsid w:val="00807405"/>
    <w:rsid w:val="0081080A"/>
    <w:rsid w:val="00810B35"/>
    <w:rsid w:val="00811623"/>
    <w:rsid w:val="0081168A"/>
    <w:rsid w:val="0081180F"/>
    <w:rsid w:val="00812099"/>
    <w:rsid w:val="0081279D"/>
    <w:rsid w:val="0081326B"/>
    <w:rsid w:val="008136E1"/>
    <w:rsid w:val="008141C2"/>
    <w:rsid w:val="008141F9"/>
    <w:rsid w:val="00814B16"/>
    <w:rsid w:val="00814C55"/>
    <w:rsid w:val="00815026"/>
    <w:rsid w:val="008150DB"/>
    <w:rsid w:val="0081574B"/>
    <w:rsid w:val="00815AF8"/>
    <w:rsid w:val="00816350"/>
    <w:rsid w:val="0081639A"/>
    <w:rsid w:val="0081654B"/>
    <w:rsid w:val="0081656D"/>
    <w:rsid w:val="008166D2"/>
    <w:rsid w:val="008169EF"/>
    <w:rsid w:val="00816BAA"/>
    <w:rsid w:val="00816E1D"/>
    <w:rsid w:val="008170F3"/>
    <w:rsid w:val="00817DDA"/>
    <w:rsid w:val="008202EB"/>
    <w:rsid w:val="00820438"/>
    <w:rsid w:val="00820B45"/>
    <w:rsid w:val="008211DE"/>
    <w:rsid w:val="0082146D"/>
    <w:rsid w:val="008218AA"/>
    <w:rsid w:val="00821ABE"/>
    <w:rsid w:val="00821B4F"/>
    <w:rsid w:val="00822A22"/>
    <w:rsid w:val="00822E4C"/>
    <w:rsid w:val="00823016"/>
    <w:rsid w:val="0082407C"/>
    <w:rsid w:val="008240FD"/>
    <w:rsid w:val="008245C5"/>
    <w:rsid w:val="008251DB"/>
    <w:rsid w:val="00825C28"/>
    <w:rsid w:val="00826B26"/>
    <w:rsid w:val="00826EF9"/>
    <w:rsid w:val="00827943"/>
    <w:rsid w:val="008305E3"/>
    <w:rsid w:val="008309BE"/>
    <w:rsid w:val="00830E8E"/>
    <w:rsid w:val="008313D7"/>
    <w:rsid w:val="00831570"/>
    <w:rsid w:val="00831BA9"/>
    <w:rsid w:val="00831DB4"/>
    <w:rsid w:val="008320DE"/>
    <w:rsid w:val="0083228A"/>
    <w:rsid w:val="00832368"/>
    <w:rsid w:val="00832961"/>
    <w:rsid w:val="00832CE4"/>
    <w:rsid w:val="00833730"/>
    <w:rsid w:val="008339D0"/>
    <w:rsid w:val="0083403C"/>
    <w:rsid w:val="008343F8"/>
    <w:rsid w:val="00835F0C"/>
    <w:rsid w:val="008368E9"/>
    <w:rsid w:val="00836EB1"/>
    <w:rsid w:val="00837ED7"/>
    <w:rsid w:val="00840403"/>
    <w:rsid w:val="00841659"/>
    <w:rsid w:val="008419A0"/>
    <w:rsid w:val="008425B1"/>
    <w:rsid w:val="0084294B"/>
    <w:rsid w:val="00843218"/>
    <w:rsid w:val="008458A0"/>
    <w:rsid w:val="0084611D"/>
    <w:rsid w:val="008463FA"/>
    <w:rsid w:val="00847361"/>
    <w:rsid w:val="008473D1"/>
    <w:rsid w:val="00847963"/>
    <w:rsid w:val="00850034"/>
    <w:rsid w:val="00850359"/>
    <w:rsid w:val="00850BD0"/>
    <w:rsid w:val="008513F8"/>
    <w:rsid w:val="00852257"/>
    <w:rsid w:val="00852356"/>
    <w:rsid w:val="00852E94"/>
    <w:rsid w:val="00853647"/>
    <w:rsid w:val="00853760"/>
    <w:rsid w:val="0085379F"/>
    <w:rsid w:val="0085408C"/>
    <w:rsid w:val="0085416D"/>
    <w:rsid w:val="00854617"/>
    <w:rsid w:val="00854751"/>
    <w:rsid w:val="00855061"/>
    <w:rsid w:val="0085574A"/>
    <w:rsid w:val="00855C43"/>
    <w:rsid w:val="00857D65"/>
    <w:rsid w:val="00857E4A"/>
    <w:rsid w:val="00860066"/>
    <w:rsid w:val="00860535"/>
    <w:rsid w:val="00860A98"/>
    <w:rsid w:val="00860BEE"/>
    <w:rsid w:val="00861175"/>
    <w:rsid w:val="0086178C"/>
    <w:rsid w:val="008619B4"/>
    <w:rsid w:val="00861D7E"/>
    <w:rsid w:val="008628B4"/>
    <w:rsid w:val="008636DB"/>
    <w:rsid w:val="00863DE2"/>
    <w:rsid w:val="00863EF8"/>
    <w:rsid w:val="0086413A"/>
    <w:rsid w:val="008656CE"/>
    <w:rsid w:val="00865ED9"/>
    <w:rsid w:val="0086658F"/>
    <w:rsid w:val="00866BD5"/>
    <w:rsid w:val="00866FD3"/>
    <w:rsid w:val="008670C6"/>
    <w:rsid w:val="00867623"/>
    <w:rsid w:val="00867D51"/>
    <w:rsid w:val="00870801"/>
    <w:rsid w:val="00870807"/>
    <w:rsid w:val="008709B4"/>
    <w:rsid w:val="008711B1"/>
    <w:rsid w:val="00871614"/>
    <w:rsid w:val="0087174A"/>
    <w:rsid w:val="008723EE"/>
    <w:rsid w:val="008729D2"/>
    <w:rsid w:val="00872B95"/>
    <w:rsid w:val="00873504"/>
    <w:rsid w:val="00873BDC"/>
    <w:rsid w:val="00874706"/>
    <w:rsid w:val="00875021"/>
    <w:rsid w:val="008756BC"/>
    <w:rsid w:val="00875E5C"/>
    <w:rsid w:val="00876369"/>
    <w:rsid w:val="00876AD7"/>
    <w:rsid w:val="00877E2C"/>
    <w:rsid w:val="0088089A"/>
    <w:rsid w:val="00880E6D"/>
    <w:rsid w:val="00882595"/>
    <w:rsid w:val="00882C78"/>
    <w:rsid w:val="00882D47"/>
    <w:rsid w:val="00883503"/>
    <w:rsid w:val="00883AED"/>
    <w:rsid w:val="00883B99"/>
    <w:rsid w:val="00883BA3"/>
    <w:rsid w:val="00884150"/>
    <w:rsid w:val="008853E3"/>
    <w:rsid w:val="00885402"/>
    <w:rsid w:val="00885D6A"/>
    <w:rsid w:val="008860EC"/>
    <w:rsid w:val="00886E72"/>
    <w:rsid w:val="00886FA8"/>
    <w:rsid w:val="00887CC0"/>
    <w:rsid w:val="008907EB"/>
    <w:rsid w:val="00890DBB"/>
    <w:rsid w:val="008916BC"/>
    <w:rsid w:val="00891DD7"/>
    <w:rsid w:val="00892B1A"/>
    <w:rsid w:val="00892E83"/>
    <w:rsid w:val="00894112"/>
    <w:rsid w:val="00894A3A"/>
    <w:rsid w:val="00894B18"/>
    <w:rsid w:val="00895261"/>
    <w:rsid w:val="008954F6"/>
    <w:rsid w:val="0089716B"/>
    <w:rsid w:val="008A0046"/>
    <w:rsid w:val="008A028B"/>
    <w:rsid w:val="008A0FD3"/>
    <w:rsid w:val="008A20AE"/>
    <w:rsid w:val="008A24AF"/>
    <w:rsid w:val="008A2B57"/>
    <w:rsid w:val="008A3286"/>
    <w:rsid w:val="008A33FF"/>
    <w:rsid w:val="008A3628"/>
    <w:rsid w:val="008A378D"/>
    <w:rsid w:val="008A482B"/>
    <w:rsid w:val="008A4C93"/>
    <w:rsid w:val="008A552D"/>
    <w:rsid w:val="008A6069"/>
    <w:rsid w:val="008A6B6A"/>
    <w:rsid w:val="008B0045"/>
    <w:rsid w:val="008B096D"/>
    <w:rsid w:val="008B170C"/>
    <w:rsid w:val="008B18C8"/>
    <w:rsid w:val="008B1CB0"/>
    <w:rsid w:val="008B2A28"/>
    <w:rsid w:val="008B2A7D"/>
    <w:rsid w:val="008B2D49"/>
    <w:rsid w:val="008B3105"/>
    <w:rsid w:val="008B3B62"/>
    <w:rsid w:val="008B4D47"/>
    <w:rsid w:val="008B4F07"/>
    <w:rsid w:val="008B53E5"/>
    <w:rsid w:val="008B555D"/>
    <w:rsid w:val="008B5B6A"/>
    <w:rsid w:val="008B5BFB"/>
    <w:rsid w:val="008B666F"/>
    <w:rsid w:val="008B680A"/>
    <w:rsid w:val="008B6AF0"/>
    <w:rsid w:val="008B6B05"/>
    <w:rsid w:val="008B6FFF"/>
    <w:rsid w:val="008B7987"/>
    <w:rsid w:val="008C027A"/>
    <w:rsid w:val="008C0BE4"/>
    <w:rsid w:val="008C1136"/>
    <w:rsid w:val="008C11FE"/>
    <w:rsid w:val="008C158F"/>
    <w:rsid w:val="008C1CC4"/>
    <w:rsid w:val="008C288F"/>
    <w:rsid w:val="008C2CA0"/>
    <w:rsid w:val="008C31B3"/>
    <w:rsid w:val="008C3F31"/>
    <w:rsid w:val="008C4E50"/>
    <w:rsid w:val="008C5B42"/>
    <w:rsid w:val="008C5CDD"/>
    <w:rsid w:val="008C5CEA"/>
    <w:rsid w:val="008C615B"/>
    <w:rsid w:val="008C6500"/>
    <w:rsid w:val="008C65BF"/>
    <w:rsid w:val="008C684E"/>
    <w:rsid w:val="008C6A45"/>
    <w:rsid w:val="008C6CB3"/>
    <w:rsid w:val="008C76C9"/>
    <w:rsid w:val="008C7961"/>
    <w:rsid w:val="008C7DE1"/>
    <w:rsid w:val="008D03F8"/>
    <w:rsid w:val="008D10A6"/>
    <w:rsid w:val="008D17BE"/>
    <w:rsid w:val="008D1BAE"/>
    <w:rsid w:val="008D1CCF"/>
    <w:rsid w:val="008D21EF"/>
    <w:rsid w:val="008D21F3"/>
    <w:rsid w:val="008D3375"/>
    <w:rsid w:val="008D3661"/>
    <w:rsid w:val="008D397E"/>
    <w:rsid w:val="008D4989"/>
    <w:rsid w:val="008D50DF"/>
    <w:rsid w:val="008D5904"/>
    <w:rsid w:val="008D5AE0"/>
    <w:rsid w:val="008D5ECC"/>
    <w:rsid w:val="008D60FE"/>
    <w:rsid w:val="008D636D"/>
    <w:rsid w:val="008D6562"/>
    <w:rsid w:val="008D6B2E"/>
    <w:rsid w:val="008D70CE"/>
    <w:rsid w:val="008E01C7"/>
    <w:rsid w:val="008E042F"/>
    <w:rsid w:val="008E051D"/>
    <w:rsid w:val="008E1576"/>
    <w:rsid w:val="008E19C7"/>
    <w:rsid w:val="008E19D1"/>
    <w:rsid w:val="008E1AEF"/>
    <w:rsid w:val="008E2CD9"/>
    <w:rsid w:val="008E381D"/>
    <w:rsid w:val="008E40EA"/>
    <w:rsid w:val="008E42E4"/>
    <w:rsid w:val="008E43D4"/>
    <w:rsid w:val="008E4AB9"/>
    <w:rsid w:val="008E4B51"/>
    <w:rsid w:val="008E5856"/>
    <w:rsid w:val="008E590F"/>
    <w:rsid w:val="008E5B12"/>
    <w:rsid w:val="008E64B2"/>
    <w:rsid w:val="008E68EB"/>
    <w:rsid w:val="008E6927"/>
    <w:rsid w:val="008E69CD"/>
    <w:rsid w:val="008E79D2"/>
    <w:rsid w:val="008E7D2B"/>
    <w:rsid w:val="008F0433"/>
    <w:rsid w:val="008F0484"/>
    <w:rsid w:val="008F066D"/>
    <w:rsid w:val="008F0B36"/>
    <w:rsid w:val="008F1030"/>
    <w:rsid w:val="008F1130"/>
    <w:rsid w:val="008F118D"/>
    <w:rsid w:val="008F2055"/>
    <w:rsid w:val="008F2B5D"/>
    <w:rsid w:val="008F3084"/>
    <w:rsid w:val="008F38AD"/>
    <w:rsid w:val="008F52AF"/>
    <w:rsid w:val="008F5356"/>
    <w:rsid w:val="008F5610"/>
    <w:rsid w:val="008F574B"/>
    <w:rsid w:val="008F595D"/>
    <w:rsid w:val="008F5D60"/>
    <w:rsid w:val="008F63C2"/>
    <w:rsid w:val="008F72E4"/>
    <w:rsid w:val="008F7FB2"/>
    <w:rsid w:val="00900484"/>
    <w:rsid w:val="009006E7"/>
    <w:rsid w:val="009014D5"/>
    <w:rsid w:val="00901597"/>
    <w:rsid w:val="00901824"/>
    <w:rsid w:val="009025B8"/>
    <w:rsid w:val="00902ACF"/>
    <w:rsid w:val="00902F39"/>
    <w:rsid w:val="00902FF8"/>
    <w:rsid w:val="00903E37"/>
    <w:rsid w:val="0090464A"/>
    <w:rsid w:val="00904EAF"/>
    <w:rsid w:val="009053E5"/>
    <w:rsid w:val="009054BA"/>
    <w:rsid w:val="009054D0"/>
    <w:rsid w:val="009055CF"/>
    <w:rsid w:val="00905696"/>
    <w:rsid w:val="0090592A"/>
    <w:rsid w:val="00906248"/>
    <w:rsid w:val="009068E8"/>
    <w:rsid w:val="00906C9E"/>
    <w:rsid w:val="00907CDC"/>
    <w:rsid w:val="00907D36"/>
    <w:rsid w:val="0091002D"/>
    <w:rsid w:val="009103D3"/>
    <w:rsid w:val="0091064F"/>
    <w:rsid w:val="00911F63"/>
    <w:rsid w:val="009125E3"/>
    <w:rsid w:val="00912614"/>
    <w:rsid w:val="0091269C"/>
    <w:rsid w:val="009132E7"/>
    <w:rsid w:val="009136EA"/>
    <w:rsid w:val="00914039"/>
    <w:rsid w:val="0091412C"/>
    <w:rsid w:val="00914637"/>
    <w:rsid w:val="009147E1"/>
    <w:rsid w:val="00914868"/>
    <w:rsid w:val="00914BA3"/>
    <w:rsid w:val="00914CDD"/>
    <w:rsid w:val="0091676C"/>
    <w:rsid w:val="00916843"/>
    <w:rsid w:val="00917383"/>
    <w:rsid w:val="009173AF"/>
    <w:rsid w:val="00917A17"/>
    <w:rsid w:val="00917A43"/>
    <w:rsid w:val="00917DFC"/>
    <w:rsid w:val="009204B8"/>
    <w:rsid w:val="009208E2"/>
    <w:rsid w:val="00920CB0"/>
    <w:rsid w:val="00921E4E"/>
    <w:rsid w:val="00922842"/>
    <w:rsid w:val="00922920"/>
    <w:rsid w:val="00922950"/>
    <w:rsid w:val="009234D7"/>
    <w:rsid w:val="00923D09"/>
    <w:rsid w:val="0092497A"/>
    <w:rsid w:val="00925400"/>
    <w:rsid w:val="0092545A"/>
    <w:rsid w:val="00925A1A"/>
    <w:rsid w:val="00925CDB"/>
    <w:rsid w:val="00926139"/>
    <w:rsid w:val="0092650A"/>
    <w:rsid w:val="00926F78"/>
    <w:rsid w:val="0092722B"/>
    <w:rsid w:val="00927A48"/>
    <w:rsid w:val="00927A63"/>
    <w:rsid w:val="00927D5D"/>
    <w:rsid w:val="00930AF1"/>
    <w:rsid w:val="00931703"/>
    <w:rsid w:val="009322FF"/>
    <w:rsid w:val="0093347C"/>
    <w:rsid w:val="009334A5"/>
    <w:rsid w:val="00934457"/>
    <w:rsid w:val="00934B08"/>
    <w:rsid w:val="00935C38"/>
    <w:rsid w:val="009366BF"/>
    <w:rsid w:val="0093676C"/>
    <w:rsid w:val="0093698C"/>
    <w:rsid w:val="0093746F"/>
    <w:rsid w:val="0093768C"/>
    <w:rsid w:val="00937951"/>
    <w:rsid w:val="00937ACA"/>
    <w:rsid w:val="00937C0F"/>
    <w:rsid w:val="009405FC"/>
    <w:rsid w:val="00940646"/>
    <w:rsid w:val="009410BA"/>
    <w:rsid w:val="009419E2"/>
    <w:rsid w:val="00941B1F"/>
    <w:rsid w:val="0094210E"/>
    <w:rsid w:val="00942224"/>
    <w:rsid w:val="00942603"/>
    <w:rsid w:val="009427E5"/>
    <w:rsid w:val="00942A29"/>
    <w:rsid w:val="00942D30"/>
    <w:rsid w:val="009433D3"/>
    <w:rsid w:val="00943AC8"/>
    <w:rsid w:val="009442AC"/>
    <w:rsid w:val="009448D5"/>
    <w:rsid w:val="00944DEB"/>
    <w:rsid w:val="00945082"/>
    <w:rsid w:val="009457EA"/>
    <w:rsid w:val="009466C9"/>
    <w:rsid w:val="00946C73"/>
    <w:rsid w:val="009472C2"/>
    <w:rsid w:val="00947F75"/>
    <w:rsid w:val="00950317"/>
    <w:rsid w:val="00950F9B"/>
    <w:rsid w:val="00951871"/>
    <w:rsid w:val="00951DDE"/>
    <w:rsid w:val="00951FAE"/>
    <w:rsid w:val="009522BF"/>
    <w:rsid w:val="0095284F"/>
    <w:rsid w:val="00953E3F"/>
    <w:rsid w:val="0095486D"/>
    <w:rsid w:val="00954F0F"/>
    <w:rsid w:val="00955605"/>
    <w:rsid w:val="00955C44"/>
    <w:rsid w:val="00955E75"/>
    <w:rsid w:val="00956454"/>
    <w:rsid w:val="0095678D"/>
    <w:rsid w:val="00956841"/>
    <w:rsid w:val="009569F6"/>
    <w:rsid w:val="00956DC8"/>
    <w:rsid w:val="00957831"/>
    <w:rsid w:val="00957BAD"/>
    <w:rsid w:val="009602A4"/>
    <w:rsid w:val="00960316"/>
    <w:rsid w:val="0096046E"/>
    <w:rsid w:val="00960AFA"/>
    <w:rsid w:val="00960C1B"/>
    <w:rsid w:val="00961BC1"/>
    <w:rsid w:val="00961FD0"/>
    <w:rsid w:val="00962F5B"/>
    <w:rsid w:val="009638A3"/>
    <w:rsid w:val="0096400C"/>
    <w:rsid w:val="00964275"/>
    <w:rsid w:val="00964587"/>
    <w:rsid w:val="00964A61"/>
    <w:rsid w:val="00964A7C"/>
    <w:rsid w:val="0096603D"/>
    <w:rsid w:val="009661E8"/>
    <w:rsid w:val="009663D2"/>
    <w:rsid w:val="00966D51"/>
    <w:rsid w:val="009677AC"/>
    <w:rsid w:val="00967BAE"/>
    <w:rsid w:val="00967E61"/>
    <w:rsid w:val="00970B7F"/>
    <w:rsid w:val="009714F2"/>
    <w:rsid w:val="00971950"/>
    <w:rsid w:val="00971BF3"/>
    <w:rsid w:val="00971DEC"/>
    <w:rsid w:val="00971E09"/>
    <w:rsid w:val="0097217F"/>
    <w:rsid w:val="009722B4"/>
    <w:rsid w:val="009724C4"/>
    <w:rsid w:val="00972640"/>
    <w:rsid w:val="009729F1"/>
    <w:rsid w:val="00973995"/>
    <w:rsid w:val="009746F7"/>
    <w:rsid w:val="00974EAD"/>
    <w:rsid w:val="00975069"/>
    <w:rsid w:val="009750F9"/>
    <w:rsid w:val="00975111"/>
    <w:rsid w:val="00975387"/>
    <w:rsid w:val="009759F9"/>
    <w:rsid w:val="00975CC6"/>
    <w:rsid w:val="00975CC7"/>
    <w:rsid w:val="00976597"/>
    <w:rsid w:val="0097683B"/>
    <w:rsid w:val="00976973"/>
    <w:rsid w:val="00976C14"/>
    <w:rsid w:val="00977019"/>
    <w:rsid w:val="009771F7"/>
    <w:rsid w:val="009779D2"/>
    <w:rsid w:val="00980DB1"/>
    <w:rsid w:val="0098104C"/>
    <w:rsid w:val="00981BAA"/>
    <w:rsid w:val="00981BB0"/>
    <w:rsid w:val="0098200B"/>
    <w:rsid w:val="009830CA"/>
    <w:rsid w:val="009836A1"/>
    <w:rsid w:val="00983777"/>
    <w:rsid w:val="00983A51"/>
    <w:rsid w:val="00983C97"/>
    <w:rsid w:val="00983F6C"/>
    <w:rsid w:val="00984904"/>
    <w:rsid w:val="00984988"/>
    <w:rsid w:val="00984BE2"/>
    <w:rsid w:val="0098526B"/>
    <w:rsid w:val="0098576E"/>
    <w:rsid w:val="0098640A"/>
    <w:rsid w:val="009869A6"/>
    <w:rsid w:val="00986BBB"/>
    <w:rsid w:val="0098711F"/>
    <w:rsid w:val="0098750E"/>
    <w:rsid w:val="0098780A"/>
    <w:rsid w:val="00990E2E"/>
    <w:rsid w:val="009912C0"/>
    <w:rsid w:val="00991A78"/>
    <w:rsid w:val="00991D03"/>
    <w:rsid w:val="00991E63"/>
    <w:rsid w:val="009920CF"/>
    <w:rsid w:val="00992CA1"/>
    <w:rsid w:val="00993FA1"/>
    <w:rsid w:val="00994228"/>
    <w:rsid w:val="0099489E"/>
    <w:rsid w:val="009956DB"/>
    <w:rsid w:val="00995A27"/>
    <w:rsid w:val="009974AF"/>
    <w:rsid w:val="009A014F"/>
    <w:rsid w:val="009A02C4"/>
    <w:rsid w:val="009A043C"/>
    <w:rsid w:val="009A0E74"/>
    <w:rsid w:val="009A0EAC"/>
    <w:rsid w:val="009A1AC8"/>
    <w:rsid w:val="009A20C5"/>
    <w:rsid w:val="009A22D6"/>
    <w:rsid w:val="009A23FD"/>
    <w:rsid w:val="009A2A43"/>
    <w:rsid w:val="009A32BC"/>
    <w:rsid w:val="009A3BA3"/>
    <w:rsid w:val="009A4597"/>
    <w:rsid w:val="009A4981"/>
    <w:rsid w:val="009A4F87"/>
    <w:rsid w:val="009A5C55"/>
    <w:rsid w:val="009A657B"/>
    <w:rsid w:val="009A67D6"/>
    <w:rsid w:val="009A7BDB"/>
    <w:rsid w:val="009B00ED"/>
    <w:rsid w:val="009B05A2"/>
    <w:rsid w:val="009B05E4"/>
    <w:rsid w:val="009B1590"/>
    <w:rsid w:val="009B2133"/>
    <w:rsid w:val="009B21C3"/>
    <w:rsid w:val="009B2509"/>
    <w:rsid w:val="009B2974"/>
    <w:rsid w:val="009B2D39"/>
    <w:rsid w:val="009B3110"/>
    <w:rsid w:val="009B34F1"/>
    <w:rsid w:val="009B35FC"/>
    <w:rsid w:val="009B3622"/>
    <w:rsid w:val="009B3A5A"/>
    <w:rsid w:val="009B3D95"/>
    <w:rsid w:val="009B400C"/>
    <w:rsid w:val="009B42A4"/>
    <w:rsid w:val="009B4640"/>
    <w:rsid w:val="009B510E"/>
    <w:rsid w:val="009B6B25"/>
    <w:rsid w:val="009B6DF1"/>
    <w:rsid w:val="009C0B34"/>
    <w:rsid w:val="009C0D59"/>
    <w:rsid w:val="009C151C"/>
    <w:rsid w:val="009C1C2D"/>
    <w:rsid w:val="009C3039"/>
    <w:rsid w:val="009C3407"/>
    <w:rsid w:val="009C3AD4"/>
    <w:rsid w:val="009C4B23"/>
    <w:rsid w:val="009C4B73"/>
    <w:rsid w:val="009C6A3B"/>
    <w:rsid w:val="009C6FC7"/>
    <w:rsid w:val="009C77B3"/>
    <w:rsid w:val="009C7981"/>
    <w:rsid w:val="009D0412"/>
    <w:rsid w:val="009D0AD1"/>
    <w:rsid w:val="009D17DA"/>
    <w:rsid w:val="009D1BE6"/>
    <w:rsid w:val="009D1D69"/>
    <w:rsid w:val="009D22F5"/>
    <w:rsid w:val="009D2E59"/>
    <w:rsid w:val="009D3066"/>
    <w:rsid w:val="009D36B6"/>
    <w:rsid w:val="009D3BD2"/>
    <w:rsid w:val="009D45D4"/>
    <w:rsid w:val="009D498C"/>
    <w:rsid w:val="009D54F7"/>
    <w:rsid w:val="009D5EE4"/>
    <w:rsid w:val="009D6013"/>
    <w:rsid w:val="009D616B"/>
    <w:rsid w:val="009D61A2"/>
    <w:rsid w:val="009D7DE4"/>
    <w:rsid w:val="009E00D1"/>
    <w:rsid w:val="009E04FD"/>
    <w:rsid w:val="009E06A4"/>
    <w:rsid w:val="009E1362"/>
    <w:rsid w:val="009E15E2"/>
    <w:rsid w:val="009E1A91"/>
    <w:rsid w:val="009E1B9C"/>
    <w:rsid w:val="009E23BE"/>
    <w:rsid w:val="009E26BE"/>
    <w:rsid w:val="009E278A"/>
    <w:rsid w:val="009E36A7"/>
    <w:rsid w:val="009E3A8E"/>
    <w:rsid w:val="009E47A7"/>
    <w:rsid w:val="009E47D3"/>
    <w:rsid w:val="009E5497"/>
    <w:rsid w:val="009E54BC"/>
    <w:rsid w:val="009E56BA"/>
    <w:rsid w:val="009E5BCA"/>
    <w:rsid w:val="009E6901"/>
    <w:rsid w:val="009E69A0"/>
    <w:rsid w:val="009E76CB"/>
    <w:rsid w:val="009E7B7B"/>
    <w:rsid w:val="009E7C1B"/>
    <w:rsid w:val="009F0453"/>
    <w:rsid w:val="009F0714"/>
    <w:rsid w:val="009F1736"/>
    <w:rsid w:val="009F1866"/>
    <w:rsid w:val="009F1E5A"/>
    <w:rsid w:val="009F2491"/>
    <w:rsid w:val="009F2D59"/>
    <w:rsid w:val="009F2D7A"/>
    <w:rsid w:val="009F36CC"/>
    <w:rsid w:val="009F3B53"/>
    <w:rsid w:val="009F46AB"/>
    <w:rsid w:val="009F47A0"/>
    <w:rsid w:val="009F590B"/>
    <w:rsid w:val="009F5D67"/>
    <w:rsid w:val="009F64E8"/>
    <w:rsid w:val="009F6B4F"/>
    <w:rsid w:val="009F6D7C"/>
    <w:rsid w:val="009F6F64"/>
    <w:rsid w:val="009F7DF7"/>
    <w:rsid w:val="00A002BA"/>
    <w:rsid w:val="00A00B41"/>
    <w:rsid w:val="00A01472"/>
    <w:rsid w:val="00A027F2"/>
    <w:rsid w:val="00A0288D"/>
    <w:rsid w:val="00A02AEE"/>
    <w:rsid w:val="00A02D78"/>
    <w:rsid w:val="00A02E17"/>
    <w:rsid w:val="00A02E49"/>
    <w:rsid w:val="00A0371E"/>
    <w:rsid w:val="00A0535F"/>
    <w:rsid w:val="00A057F8"/>
    <w:rsid w:val="00A05E4E"/>
    <w:rsid w:val="00A05F0E"/>
    <w:rsid w:val="00A0601A"/>
    <w:rsid w:val="00A0633E"/>
    <w:rsid w:val="00A06621"/>
    <w:rsid w:val="00A07B3D"/>
    <w:rsid w:val="00A07D7D"/>
    <w:rsid w:val="00A1171C"/>
    <w:rsid w:val="00A11D42"/>
    <w:rsid w:val="00A1238F"/>
    <w:rsid w:val="00A12829"/>
    <w:rsid w:val="00A13014"/>
    <w:rsid w:val="00A13880"/>
    <w:rsid w:val="00A1496E"/>
    <w:rsid w:val="00A14D5B"/>
    <w:rsid w:val="00A15214"/>
    <w:rsid w:val="00A15C2D"/>
    <w:rsid w:val="00A1644A"/>
    <w:rsid w:val="00A166A0"/>
    <w:rsid w:val="00A16910"/>
    <w:rsid w:val="00A16B7B"/>
    <w:rsid w:val="00A174F4"/>
    <w:rsid w:val="00A17FB6"/>
    <w:rsid w:val="00A20275"/>
    <w:rsid w:val="00A205E9"/>
    <w:rsid w:val="00A21D09"/>
    <w:rsid w:val="00A21E08"/>
    <w:rsid w:val="00A232FE"/>
    <w:rsid w:val="00A2393A"/>
    <w:rsid w:val="00A23BC0"/>
    <w:rsid w:val="00A23DC0"/>
    <w:rsid w:val="00A2431E"/>
    <w:rsid w:val="00A24562"/>
    <w:rsid w:val="00A245D4"/>
    <w:rsid w:val="00A245E5"/>
    <w:rsid w:val="00A26C01"/>
    <w:rsid w:val="00A27025"/>
    <w:rsid w:val="00A27BC0"/>
    <w:rsid w:val="00A31E9A"/>
    <w:rsid w:val="00A32126"/>
    <w:rsid w:val="00A32395"/>
    <w:rsid w:val="00A326F3"/>
    <w:rsid w:val="00A32BC7"/>
    <w:rsid w:val="00A3318E"/>
    <w:rsid w:val="00A33343"/>
    <w:rsid w:val="00A3348F"/>
    <w:rsid w:val="00A33E5A"/>
    <w:rsid w:val="00A351D4"/>
    <w:rsid w:val="00A3550E"/>
    <w:rsid w:val="00A35F41"/>
    <w:rsid w:val="00A36732"/>
    <w:rsid w:val="00A367A6"/>
    <w:rsid w:val="00A36EC7"/>
    <w:rsid w:val="00A37333"/>
    <w:rsid w:val="00A37D27"/>
    <w:rsid w:val="00A4102C"/>
    <w:rsid w:val="00A410E6"/>
    <w:rsid w:val="00A413EC"/>
    <w:rsid w:val="00A41D30"/>
    <w:rsid w:val="00A4230C"/>
    <w:rsid w:val="00A4253A"/>
    <w:rsid w:val="00A42A91"/>
    <w:rsid w:val="00A432B2"/>
    <w:rsid w:val="00A43715"/>
    <w:rsid w:val="00A439F1"/>
    <w:rsid w:val="00A43DC5"/>
    <w:rsid w:val="00A4490A"/>
    <w:rsid w:val="00A45BAA"/>
    <w:rsid w:val="00A45F68"/>
    <w:rsid w:val="00A462CD"/>
    <w:rsid w:val="00A46323"/>
    <w:rsid w:val="00A463F1"/>
    <w:rsid w:val="00A47066"/>
    <w:rsid w:val="00A47691"/>
    <w:rsid w:val="00A47A41"/>
    <w:rsid w:val="00A50AA4"/>
    <w:rsid w:val="00A50D50"/>
    <w:rsid w:val="00A50FCE"/>
    <w:rsid w:val="00A51176"/>
    <w:rsid w:val="00A518CD"/>
    <w:rsid w:val="00A51F2E"/>
    <w:rsid w:val="00A51F92"/>
    <w:rsid w:val="00A53C40"/>
    <w:rsid w:val="00A53FCA"/>
    <w:rsid w:val="00A55757"/>
    <w:rsid w:val="00A562EB"/>
    <w:rsid w:val="00A56E54"/>
    <w:rsid w:val="00A576E2"/>
    <w:rsid w:val="00A57CC8"/>
    <w:rsid w:val="00A57CC9"/>
    <w:rsid w:val="00A57DC4"/>
    <w:rsid w:val="00A60913"/>
    <w:rsid w:val="00A60FAA"/>
    <w:rsid w:val="00A6159C"/>
    <w:rsid w:val="00A61990"/>
    <w:rsid w:val="00A61C5B"/>
    <w:rsid w:val="00A61C8C"/>
    <w:rsid w:val="00A61D0D"/>
    <w:rsid w:val="00A63B61"/>
    <w:rsid w:val="00A63BC2"/>
    <w:rsid w:val="00A641F8"/>
    <w:rsid w:val="00A64A43"/>
    <w:rsid w:val="00A64F1B"/>
    <w:rsid w:val="00A654E7"/>
    <w:rsid w:val="00A65519"/>
    <w:rsid w:val="00A65B1D"/>
    <w:rsid w:val="00A65F35"/>
    <w:rsid w:val="00A662EA"/>
    <w:rsid w:val="00A66C83"/>
    <w:rsid w:val="00A66DCD"/>
    <w:rsid w:val="00A673E8"/>
    <w:rsid w:val="00A67457"/>
    <w:rsid w:val="00A674FD"/>
    <w:rsid w:val="00A67E1C"/>
    <w:rsid w:val="00A70C32"/>
    <w:rsid w:val="00A71C65"/>
    <w:rsid w:val="00A71D2D"/>
    <w:rsid w:val="00A725EF"/>
    <w:rsid w:val="00A72658"/>
    <w:rsid w:val="00A72C3E"/>
    <w:rsid w:val="00A72D33"/>
    <w:rsid w:val="00A73941"/>
    <w:rsid w:val="00A74B53"/>
    <w:rsid w:val="00A74CC9"/>
    <w:rsid w:val="00A74D31"/>
    <w:rsid w:val="00A750D9"/>
    <w:rsid w:val="00A75158"/>
    <w:rsid w:val="00A75EEF"/>
    <w:rsid w:val="00A764C5"/>
    <w:rsid w:val="00A76791"/>
    <w:rsid w:val="00A76B44"/>
    <w:rsid w:val="00A76ECC"/>
    <w:rsid w:val="00A76F0C"/>
    <w:rsid w:val="00A76FDE"/>
    <w:rsid w:val="00A77A85"/>
    <w:rsid w:val="00A77B0A"/>
    <w:rsid w:val="00A77F3A"/>
    <w:rsid w:val="00A77F41"/>
    <w:rsid w:val="00A811E0"/>
    <w:rsid w:val="00A818F7"/>
    <w:rsid w:val="00A822FD"/>
    <w:rsid w:val="00A8318E"/>
    <w:rsid w:val="00A8363D"/>
    <w:rsid w:val="00A83D4B"/>
    <w:rsid w:val="00A85274"/>
    <w:rsid w:val="00A85537"/>
    <w:rsid w:val="00A85D3B"/>
    <w:rsid w:val="00A86995"/>
    <w:rsid w:val="00A86EFD"/>
    <w:rsid w:val="00A871EE"/>
    <w:rsid w:val="00A8730A"/>
    <w:rsid w:val="00A8747E"/>
    <w:rsid w:val="00A878A4"/>
    <w:rsid w:val="00A87936"/>
    <w:rsid w:val="00A87CE5"/>
    <w:rsid w:val="00A87DE2"/>
    <w:rsid w:val="00A9013C"/>
    <w:rsid w:val="00A90CB5"/>
    <w:rsid w:val="00A90DB1"/>
    <w:rsid w:val="00A91388"/>
    <w:rsid w:val="00A91807"/>
    <w:rsid w:val="00A922B3"/>
    <w:rsid w:val="00A92A49"/>
    <w:rsid w:val="00A9346B"/>
    <w:rsid w:val="00A93F26"/>
    <w:rsid w:val="00A940C3"/>
    <w:rsid w:val="00A94A06"/>
    <w:rsid w:val="00A94E8F"/>
    <w:rsid w:val="00A94EB2"/>
    <w:rsid w:val="00A95871"/>
    <w:rsid w:val="00A96384"/>
    <w:rsid w:val="00A965AF"/>
    <w:rsid w:val="00A966F2"/>
    <w:rsid w:val="00A96B10"/>
    <w:rsid w:val="00A96F4E"/>
    <w:rsid w:val="00A9772B"/>
    <w:rsid w:val="00A97B64"/>
    <w:rsid w:val="00A97BB8"/>
    <w:rsid w:val="00AA038B"/>
    <w:rsid w:val="00AA0684"/>
    <w:rsid w:val="00AA0E71"/>
    <w:rsid w:val="00AA1766"/>
    <w:rsid w:val="00AA1B77"/>
    <w:rsid w:val="00AA256D"/>
    <w:rsid w:val="00AA2CAF"/>
    <w:rsid w:val="00AA32B7"/>
    <w:rsid w:val="00AA3E0B"/>
    <w:rsid w:val="00AA40C3"/>
    <w:rsid w:val="00AA4358"/>
    <w:rsid w:val="00AA514A"/>
    <w:rsid w:val="00AA570A"/>
    <w:rsid w:val="00AA5A61"/>
    <w:rsid w:val="00AA5C1F"/>
    <w:rsid w:val="00AA613C"/>
    <w:rsid w:val="00AA775E"/>
    <w:rsid w:val="00AA77C6"/>
    <w:rsid w:val="00AA7AC4"/>
    <w:rsid w:val="00AB0362"/>
    <w:rsid w:val="00AB05E3"/>
    <w:rsid w:val="00AB064A"/>
    <w:rsid w:val="00AB09E6"/>
    <w:rsid w:val="00AB1A3E"/>
    <w:rsid w:val="00AB2155"/>
    <w:rsid w:val="00AB22A3"/>
    <w:rsid w:val="00AB2442"/>
    <w:rsid w:val="00AB3032"/>
    <w:rsid w:val="00AB3519"/>
    <w:rsid w:val="00AB39A0"/>
    <w:rsid w:val="00AB39FB"/>
    <w:rsid w:val="00AB4861"/>
    <w:rsid w:val="00AB4B62"/>
    <w:rsid w:val="00AB4DA4"/>
    <w:rsid w:val="00AB5484"/>
    <w:rsid w:val="00AB5922"/>
    <w:rsid w:val="00AB64A2"/>
    <w:rsid w:val="00AB6A16"/>
    <w:rsid w:val="00AB7CF8"/>
    <w:rsid w:val="00AC00FA"/>
    <w:rsid w:val="00AC0EC9"/>
    <w:rsid w:val="00AC1BCE"/>
    <w:rsid w:val="00AC1C3F"/>
    <w:rsid w:val="00AC204D"/>
    <w:rsid w:val="00AC21C6"/>
    <w:rsid w:val="00AC22AF"/>
    <w:rsid w:val="00AC4A34"/>
    <w:rsid w:val="00AC4C4B"/>
    <w:rsid w:val="00AC58E7"/>
    <w:rsid w:val="00AC642B"/>
    <w:rsid w:val="00AC6D27"/>
    <w:rsid w:val="00AC7058"/>
    <w:rsid w:val="00AC7F8C"/>
    <w:rsid w:val="00AD061F"/>
    <w:rsid w:val="00AD1729"/>
    <w:rsid w:val="00AD1891"/>
    <w:rsid w:val="00AD19AF"/>
    <w:rsid w:val="00AD1ADF"/>
    <w:rsid w:val="00AD1C1A"/>
    <w:rsid w:val="00AD2154"/>
    <w:rsid w:val="00AD2B12"/>
    <w:rsid w:val="00AD3826"/>
    <w:rsid w:val="00AD3885"/>
    <w:rsid w:val="00AD3AF4"/>
    <w:rsid w:val="00AD4037"/>
    <w:rsid w:val="00AD43A0"/>
    <w:rsid w:val="00AD449F"/>
    <w:rsid w:val="00AD4C4E"/>
    <w:rsid w:val="00AD4DFB"/>
    <w:rsid w:val="00AD4E32"/>
    <w:rsid w:val="00AD53D8"/>
    <w:rsid w:val="00AD5EEF"/>
    <w:rsid w:val="00AD62D7"/>
    <w:rsid w:val="00AD63A0"/>
    <w:rsid w:val="00AD64EF"/>
    <w:rsid w:val="00AD71B8"/>
    <w:rsid w:val="00AD7BF4"/>
    <w:rsid w:val="00AE0102"/>
    <w:rsid w:val="00AE09E7"/>
    <w:rsid w:val="00AE0AB7"/>
    <w:rsid w:val="00AE1034"/>
    <w:rsid w:val="00AE13F8"/>
    <w:rsid w:val="00AE1645"/>
    <w:rsid w:val="00AE1E3E"/>
    <w:rsid w:val="00AE2534"/>
    <w:rsid w:val="00AE3A11"/>
    <w:rsid w:val="00AE4744"/>
    <w:rsid w:val="00AE4E85"/>
    <w:rsid w:val="00AE5BD6"/>
    <w:rsid w:val="00AE602A"/>
    <w:rsid w:val="00AE6384"/>
    <w:rsid w:val="00AE650F"/>
    <w:rsid w:val="00AE683D"/>
    <w:rsid w:val="00AE68D1"/>
    <w:rsid w:val="00AE6C0D"/>
    <w:rsid w:val="00AE6EB0"/>
    <w:rsid w:val="00AE6F1D"/>
    <w:rsid w:val="00AE7398"/>
    <w:rsid w:val="00AF0337"/>
    <w:rsid w:val="00AF0387"/>
    <w:rsid w:val="00AF095B"/>
    <w:rsid w:val="00AF1658"/>
    <w:rsid w:val="00AF177C"/>
    <w:rsid w:val="00AF1857"/>
    <w:rsid w:val="00AF1D70"/>
    <w:rsid w:val="00AF2C81"/>
    <w:rsid w:val="00AF3104"/>
    <w:rsid w:val="00AF3B49"/>
    <w:rsid w:val="00AF43C4"/>
    <w:rsid w:val="00AF4537"/>
    <w:rsid w:val="00AF5737"/>
    <w:rsid w:val="00AF5F02"/>
    <w:rsid w:val="00AF6493"/>
    <w:rsid w:val="00AF6839"/>
    <w:rsid w:val="00AF69DD"/>
    <w:rsid w:val="00AF6BF0"/>
    <w:rsid w:val="00AF7157"/>
    <w:rsid w:val="00B000BB"/>
    <w:rsid w:val="00B000FD"/>
    <w:rsid w:val="00B004A9"/>
    <w:rsid w:val="00B008CF"/>
    <w:rsid w:val="00B00ABE"/>
    <w:rsid w:val="00B00EAA"/>
    <w:rsid w:val="00B017FA"/>
    <w:rsid w:val="00B02AFE"/>
    <w:rsid w:val="00B0322F"/>
    <w:rsid w:val="00B038E0"/>
    <w:rsid w:val="00B039B2"/>
    <w:rsid w:val="00B0459C"/>
    <w:rsid w:val="00B0520C"/>
    <w:rsid w:val="00B06195"/>
    <w:rsid w:val="00B06760"/>
    <w:rsid w:val="00B068C7"/>
    <w:rsid w:val="00B069B3"/>
    <w:rsid w:val="00B07B3F"/>
    <w:rsid w:val="00B10205"/>
    <w:rsid w:val="00B10B71"/>
    <w:rsid w:val="00B114FC"/>
    <w:rsid w:val="00B11534"/>
    <w:rsid w:val="00B122B5"/>
    <w:rsid w:val="00B12488"/>
    <w:rsid w:val="00B12590"/>
    <w:rsid w:val="00B13455"/>
    <w:rsid w:val="00B1345E"/>
    <w:rsid w:val="00B1387A"/>
    <w:rsid w:val="00B1443F"/>
    <w:rsid w:val="00B14442"/>
    <w:rsid w:val="00B14638"/>
    <w:rsid w:val="00B149DF"/>
    <w:rsid w:val="00B14E37"/>
    <w:rsid w:val="00B15137"/>
    <w:rsid w:val="00B16028"/>
    <w:rsid w:val="00B166FA"/>
    <w:rsid w:val="00B169EA"/>
    <w:rsid w:val="00B1707B"/>
    <w:rsid w:val="00B17097"/>
    <w:rsid w:val="00B1753F"/>
    <w:rsid w:val="00B20310"/>
    <w:rsid w:val="00B20346"/>
    <w:rsid w:val="00B20895"/>
    <w:rsid w:val="00B21091"/>
    <w:rsid w:val="00B2144E"/>
    <w:rsid w:val="00B214E4"/>
    <w:rsid w:val="00B21DA8"/>
    <w:rsid w:val="00B21EB8"/>
    <w:rsid w:val="00B22678"/>
    <w:rsid w:val="00B22694"/>
    <w:rsid w:val="00B22FA9"/>
    <w:rsid w:val="00B244BB"/>
    <w:rsid w:val="00B2451A"/>
    <w:rsid w:val="00B24A26"/>
    <w:rsid w:val="00B251A8"/>
    <w:rsid w:val="00B26496"/>
    <w:rsid w:val="00B2685B"/>
    <w:rsid w:val="00B268E3"/>
    <w:rsid w:val="00B26FC2"/>
    <w:rsid w:val="00B27A44"/>
    <w:rsid w:val="00B27F8C"/>
    <w:rsid w:val="00B302D5"/>
    <w:rsid w:val="00B30F0C"/>
    <w:rsid w:val="00B32192"/>
    <w:rsid w:val="00B32A35"/>
    <w:rsid w:val="00B330C5"/>
    <w:rsid w:val="00B33748"/>
    <w:rsid w:val="00B338C3"/>
    <w:rsid w:val="00B34F06"/>
    <w:rsid w:val="00B35295"/>
    <w:rsid w:val="00B359DA"/>
    <w:rsid w:val="00B36C2D"/>
    <w:rsid w:val="00B3783B"/>
    <w:rsid w:val="00B400E3"/>
    <w:rsid w:val="00B40993"/>
    <w:rsid w:val="00B40A54"/>
    <w:rsid w:val="00B40DB7"/>
    <w:rsid w:val="00B41501"/>
    <w:rsid w:val="00B4167B"/>
    <w:rsid w:val="00B419E7"/>
    <w:rsid w:val="00B41ED9"/>
    <w:rsid w:val="00B4239C"/>
    <w:rsid w:val="00B42730"/>
    <w:rsid w:val="00B428CA"/>
    <w:rsid w:val="00B42C6D"/>
    <w:rsid w:val="00B42FB3"/>
    <w:rsid w:val="00B43078"/>
    <w:rsid w:val="00B43421"/>
    <w:rsid w:val="00B43DBA"/>
    <w:rsid w:val="00B44A86"/>
    <w:rsid w:val="00B44AC1"/>
    <w:rsid w:val="00B45394"/>
    <w:rsid w:val="00B453AD"/>
    <w:rsid w:val="00B45598"/>
    <w:rsid w:val="00B46158"/>
    <w:rsid w:val="00B469A5"/>
    <w:rsid w:val="00B46F06"/>
    <w:rsid w:val="00B47092"/>
    <w:rsid w:val="00B50DFD"/>
    <w:rsid w:val="00B510E4"/>
    <w:rsid w:val="00B51157"/>
    <w:rsid w:val="00B51756"/>
    <w:rsid w:val="00B518F3"/>
    <w:rsid w:val="00B5205A"/>
    <w:rsid w:val="00B52604"/>
    <w:rsid w:val="00B52CAA"/>
    <w:rsid w:val="00B52EC4"/>
    <w:rsid w:val="00B53AF3"/>
    <w:rsid w:val="00B54189"/>
    <w:rsid w:val="00B54C15"/>
    <w:rsid w:val="00B54FC0"/>
    <w:rsid w:val="00B556B3"/>
    <w:rsid w:val="00B5598B"/>
    <w:rsid w:val="00B55F33"/>
    <w:rsid w:val="00B56952"/>
    <w:rsid w:val="00B56D5A"/>
    <w:rsid w:val="00B56FE5"/>
    <w:rsid w:val="00B57469"/>
    <w:rsid w:val="00B60331"/>
    <w:rsid w:val="00B60E55"/>
    <w:rsid w:val="00B6178C"/>
    <w:rsid w:val="00B61BB8"/>
    <w:rsid w:val="00B61BC8"/>
    <w:rsid w:val="00B61EF4"/>
    <w:rsid w:val="00B61F00"/>
    <w:rsid w:val="00B61F1A"/>
    <w:rsid w:val="00B61F2A"/>
    <w:rsid w:val="00B62044"/>
    <w:rsid w:val="00B62536"/>
    <w:rsid w:val="00B62644"/>
    <w:rsid w:val="00B63CF1"/>
    <w:rsid w:val="00B64167"/>
    <w:rsid w:val="00B6464D"/>
    <w:rsid w:val="00B64C29"/>
    <w:rsid w:val="00B657B1"/>
    <w:rsid w:val="00B65F43"/>
    <w:rsid w:val="00B66D86"/>
    <w:rsid w:val="00B66E60"/>
    <w:rsid w:val="00B67E99"/>
    <w:rsid w:val="00B7050A"/>
    <w:rsid w:val="00B70EA9"/>
    <w:rsid w:val="00B7177C"/>
    <w:rsid w:val="00B718CE"/>
    <w:rsid w:val="00B71C23"/>
    <w:rsid w:val="00B71C83"/>
    <w:rsid w:val="00B72FC9"/>
    <w:rsid w:val="00B7300A"/>
    <w:rsid w:val="00B732C6"/>
    <w:rsid w:val="00B735FB"/>
    <w:rsid w:val="00B737AC"/>
    <w:rsid w:val="00B73A53"/>
    <w:rsid w:val="00B73A96"/>
    <w:rsid w:val="00B73BB0"/>
    <w:rsid w:val="00B74945"/>
    <w:rsid w:val="00B74EA2"/>
    <w:rsid w:val="00B770E9"/>
    <w:rsid w:val="00B771A4"/>
    <w:rsid w:val="00B7755E"/>
    <w:rsid w:val="00B775BA"/>
    <w:rsid w:val="00B77972"/>
    <w:rsid w:val="00B77FE9"/>
    <w:rsid w:val="00B80437"/>
    <w:rsid w:val="00B81199"/>
    <w:rsid w:val="00B8127D"/>
    <w:rsid w:val="00B816E7"/>
    <w:rsid w:val="00B81B60"/>
    <w:rsid w:val="00B81BC0"/>
    <w:rsid w:val="00B81ECE"/>
    <w:rsid w:val="00B8295D"/>
    <w:rsid w:val="00B8298B"/>
    <w:rsid w:val="00B82B05"/>
    <w:rsid w:val="00B82BF8"/>
    <w:rsid w:val="00B82CD0"/>
    <w:rsid w:val="00B83145"/>
    <w:rsid w:val="00B83359"/>
    <w:rsid w:val="00B83A68"/>
    <w:rsid w:val="00B845B4"/>
    <w:rsid w:val="00B84668"/>
    <w:rsid w:val="00B846F6"/>
    <w:rsid w:val="00B84DD4"/>
    <w:rsid w:val="00B84E95"/>
    <w:rsid w:val="00B853EC"/>
    <w:rsid w:val="00B856F3"/>
    <w:rsid w:val="00B85775"/>
    <w:rsid w:val="00B85D1A"/>
    <w:rsid w:val="00B85EC7"/>
    <w:rsid w:val="00B86BC9"/>
    <w:rsid w:val="00B86D25"/>
    <w:rsid w:val="00B8795B"/>
    <w:rsid w:val="00B9013A"/>
    <w:rsid w:val="00B90BCE"/>
    <w:rsid w:val="00B91412"/>
    <w:rsid w:val="00B9249C"/>
    <w:rsid w:val="00B93224"/>
    <w:rsid w:val="00B9389F"/>
    <w:rsid w:val="00B9396C"/>
    <w:rsid w:val="00B94C59"/>
    <w:rsid w:val="00B94C75"/>
    <w:rsid w:val="00B95503"/>
    <w:rsid w:val="00B95D01"/>
    <w:rsid w:val="00B96127"/>
    <w:rsid w:val="00B9626D"/>
    <w:rsid w:val="00B96835"/>
    <w:rsid w:val="00B96981"/>
    <w:rsid w:val="00B96B91"/>
    <w:rsid w:val="00B97742"/>
    <w:rsid w:val="00B97D6D"/>
    <w:rsid w:val="00B97EA4"/>
    <w:rsid w:val="00B97F5F"/>
    <w:rsid w:val="00BA00D0"/>
    <w:rsid w:val="00BA0123"/>
    <w:rsid w:val="00BA04CE"/>
    <w:rsid w:val="00BA13B6"/>
    <w:rsid w:val="00BA18DA"/>
    <w:rsid w:val="00BA1BB5"/>
    <w:rsid w:val="00BA22FF"/>
    <w:rsid w:val="00BA2655"/>
    <w:rsid w:val="00BA41FE"/>
    <w:rsid w:val="00BA506B"/>
    <w:rsid w:val="00BA5512"/>
    <w:rsid w:val="00BA5849"/>
    <w:rsid w:val="00BA63D1"/>
    <w:rsid w:val="00BA6B3F"/>
    <w:rsid w:val="00BA720A"/>
    <w:rsid w:val="00BA73EC"/>
    <w:rsid w:val="00BA7802"/>
    <w:rsid w:val="00BA791E"/>
    <w:rsid w:val="00BA7976"/>
    <w:rsid w:val="00BA7C0C"/>
    <w:rsid w:val="00BA7FE5"/>
    <w:rsid w:val="00BB00AC"/>
    <w:rsid w:val="00BB05DA"/>
    <w:rsid w:val="00BB0CBD"/>
    <w:rsid w:val="00BB0F8F"/>
    <w:rsid w:val="00BB217C"/>
    <w:rsid w:val="00BB2977"/>
    <w:rsid w:val="00BB3D1A"/>
    <w:rsid w:val="00BB5646"/>
    <w:rsid w:val="00BB5773"/>
    <w:rsid w:val="00BB5CED"/>
    <w:rsid w:val="00BB5CFB"/>
    <w:rsid w:val="00BB67DF"/>
    <w:rsid w:val="00BB67FB"/>
    <w:rsid w:val="00BB72F5"/>
    <w:rsid w:val="00BB757D"/>
    <w:rsid w:val="00BB7752"/>
    <w:rsid w:val="00BB7763"/>
    <w:rsid w:val="00BC0192"/>
    <w:rsid w:val="00BC074D"/>
    <w:rsid w:val="00BC0E33"/>
    <w:rsid w:val="00BC1543"/>
    <w:rsid w:val="00BC18D1"/>
    <w:rsid w:val="00BC2421"/>
    <w:rsid w:val="00BC24CA"/>
    <w:rsid w:val="00BC27E9"/>
    <w:rsid w:val="00BC299E"/>
    <w:rsid w:val="00BC324D"/>
    <w:rsid w:val="00BC4009"/>
    <w:rsid w:val="00BC4171"/>
    <w:rsid w:val="00BC5734"/>
    <w:rsid w:val="00BC5814"/>
    <w:rsid w:val="00BC5975"/>
    <w:rsid w:val="00BC59DD"/>
    <w:rsid w:val="00BC5B57"/>
    <w:rsid w:val="00BC5B5E"/>
    <w:rsid w:val="00BC5CE6"/>
    <w:rsid w:val="00BC5EBA"/>
    <w:rsid w:val="00BC5ED4"/>
    <w:rsid w:val="00BC637D"/>
    <w:rsid w:val="00BC6446"/>
    <w:rsid w:val="00BC6C48"/>
    <w:rsid w:val="00BC6F55"/>
    <w:rsid w:val="00BD084D"/>
    <w:rsid w:val="00BD1092"/>
    <w:rsid w:val="00BD13A5"/>
    <w:rsid w:val="00BD1D23"/>
    <w:rsid w:val="00BD1ED0"/>
    <w:rsid w:val="00BD1F8E"/>
    <w:rsid w:val="00BD214D"/>
    <w:rsid w:val="00BD25CD"/>
    <w:rsid w:val="00BD2C18"/>
    <w:rsid w:val="00BD3875"/>
    <w:rsid w:val="00BD53B5"/>
    <w:rsid w:val="00BD566F"/>
    <w:rsid w:val="00BD5A1A"/>
    <w:rsid w:val="00BD6140"/>
    <w:rsid w:val="00BD6BFA"/>
    <w:rsid w:val="00BD70F1"/>
    <w:rsid w:val="00BD78D7"/>
    <w:rsid w:val="00BE012F"/>
    <w:rsid w:val="00BE0474"/>
    <w:rsid w:val="00BE07F0"/>
    <w:rsid w:val="00BE0A71"/>
    <w:rsid w:val="00BE143F"/>
    <w:rsid w:val="00BE184F"/>
    <w:rsid w:val="00BE1AE8"/>
    <w:rsid w:val="00BE1BE4"/>
    <w:rsid w:val="00BE2BAA"/>
    <w:rsid w:val="00BE2D39"/>
    <w:rsid w:val="00BE2D7D"/>
    <w:rsid w:val="00BE30CE"/>
    <w:rsid w:val="00BE313C"/>
    <w:rsid w:val="00BE31A5"/>
    <w:rsid w:val="00BE3DF4"/>
    <w:rsid w:val="00BE5D83"/>
    <w:rsid w:val="00BE631E"/>
    <w:rsid w:val="00BE676F"/>
    <w:rsid w:val="00BE698D"/>
    <w:rsid w:val="00BE6AD3"/>
    <w:rsid w:val="00BE6B39"/>
    <w:rsid w:val="00BE6EBF"/>
    <w:rsid w:val="00BE6F89"/>
    <w:rsid w:val="00BE76EF"/>
    <w:rsid w:val="00BE7A67"/>
    <w:rsid w:val="00BE7F80"/>
    <w:rsid w:val="00BF003A"/>
    <w:rsid w:val="00BF00B3"/>
    <w:rsid w:val="00BF0FE2"/>
    <w:rsid w:val="00BF11DC"/>
    <w:rsid w:val="00BF1E7E"/>
    <w:rsid w:val="00BF24BB"/>
    <w:rsid w:val="00BF2A34"/>
    <w:rsid w:val="00BF40FC"/>
    <w:rsid w:val="00BF4A3A"/>
    <w:rsid w:val="00BF4C3E"/>
    <w:rsid w:val="00BF613E"/>
    <w:rsid w:val="00BF61F2"/>
    <w:rsid w:val="00BF63E1"/>
    <w:rsid w:val="00BF7CA0"/>
    <w:rsid w:val="00C00363"/>
    <w:rsid w:val="00C003E7"/>
    <w:rsid w:val="00C00809"/>
    <w:rsid w:val="00C009EA"/>
    <w:rsid w:val="00C00A29"/>
    <w:rsid w:val="00C00E8E"/>
    <w:rsid w:val="00C0157C"/>
    <w:rsid w:val="00C019B9"/>
    <w:rsid w:val="00C01DBF"/>
    <w:rsid w:val="00C0212F"/>
    <w:rsid w:val="00C02298"/>
    <w:rsid w:val="00C02492"/>
    <w:rsid w:val="00C0267C"/>
    <w:rsid w:val="00C02B7E"/>
    <w:rsid w:val="00C0324B"/>
    <w:rsid w:val="00C03EAC"/>
    <w:rsid w:val="00C03F42"/>
    <w:rsid w:val="00C0416D"/>
    <w:rsid w:val="00C055D5"/>
    <w:rsid w:val="00C05C5C"/>
    <w:rsid w:val="00C05DD4"/>
    <w:rsid w:val="00C05EB6"/>
    <w:rsid w:val="00C06ED2"/>
    <w:rsid w:val="00C072F1"/>
    <w:rsid w:val="00C074D5"/>
    <w:rsid w:val="00C108E8"/>
    <w:rsid w:val="00C1092E"/>
    <w:rsid w:val="00C10AEB"/>
    <w:rsid w:val="00C10CC1"/>
    <w:rsid w:val="00C10E7B"/>
    <w:rsid w:val="00C111CA"/>
    <w:rsid w:val="00C114B4"/>
    <w:rsid w:val="00C11675"/>
    <w:rsid w:val="00C117E0"/>
    <w:rsid w:val="00C11800"/>
    <w:rsid w:val="00C1187D"/>
    <w:rsid w:val="00C11B19"/>
    <w:rsid w:val="00C11C26"/>
    <w:rsid w:val="00C11C67"/>
    <w:rsid w:val="00C11D52"/>
    <w:rsid w:val="00C11ECE"/>
    <w:rsid w:val="00C120DA"/>
    <w:rsid w:val="00C12B0C"/>
    <w:rsid w:val="00C15251"/>
    <w:rsid w:val="00C15506"/>
    <w:rsid w:val="00C15776"/>
    <w:rsid w:val="00C15798"/>
    <w:rsid w:val="00C15A3F"/>
    <w:rsid w:val="00C16287"/>
    <w:rsid w:val="00C17963"/>
    <w:rsid w:val="00C201A3"/>
    <w:rsid w:val="00C207A6"/>
    <w:rsid w:val="00C21770"/>
    <w:rsid w:val="00C21B1A"/>
    <w:rsid w:val="00C21BD7"/>
    <w:rsid w:val="00C22D51"/>
    <w:rsid w:val="00C2475E"/>
    <w:rsid w:val="00C24FAC"/>
    <w:rsid w:val="00C2501B"/>
    <w:rsid w:val="00C2567F"/>
    <w:rsid w:val="00C25FE8"/>
    <w:rsid w:val="00C26165"/>
    <w:rsid w:val="00C26D8C"/>
    <w:rsid w:val="00C26E82"/>
    <w:rsid w:val="00C27413"/>
    <w:rsid w:val="00C30171"/>
    <w:rsid w:val="00C304B8"/>
    <w:rsid w:val="00C305A9"/>
    <w:rsid w:val="00C30C45"/>
    <w:rsid w:val="00C31903"/>
    <w:rsid w:val="00C31C89"/>
    <w:rsid w:val="00C31D90"/>
    <w:rsid w:val="00C32214"/>
    <w:rsid w:val="00C323D1"/>
    <w:rsid w:val="00C32CA3"/>
    <w:rsid w:val="00C34141"/>
    <w:rsid w:val="00C344A1"/>
    <w:rsid w:val="00C34742"/>
    <w:rsid w:val="00C34975"/>
    <w:rsid w:val="00C34E2C"/>
    <w:rsid w:val="00C34F35"/>
    <w:rsid w:val="00C36571"/>
    <w:rsid w:val="00C36810"/>
    <w:rsid w:val="00C36C44"/>
    <w:rsid w:val="00C3784F"/>
    <w:rsid w:val="00C378D2"/>
    <w:rsid w:val="00C37C30"/>
    <w:rsid w:val="00C37D74"/>
    <w:rsid w:val="00C404C6"/>
    <w:rsid w:val="00C40E5C"/>
    <w:rsid w:val="00C40E97"/>
    <w:rsid w:val="00C41897"/>
    <w:rsid w:val="00C41D4A"/>
    <w:rsid w:val="00C42611"/>
    <w:rsid w:val="00C428FB"/>
    <w:rsid w:val="00C44057"/>
    <w:rsid w:val="00C44E78"/>
    <w:rsid w:val="00C4542C"/>
    <w:rsid w:val="00C4617F"/>
    <w:rsid w:val="00C46794"/>
    <w:rsid w:val="00C468F5"/>
    <w:rsid w:val="00C46A1D"/>
    <w:rsid w:val="00C46DFF"/>
    <w:rsid w:val="00C471AD"/>
    <w:rsid w:val="00C4727A"/>
    <w:rsid w:val="00C477DF"/>
    <w:rsid w:val="00C47B4D"/>
    <w:rsid w:val="00C50368"/>
    <w:rsid w:val="00C515A1"/>
    <w:rsid w:val="00C51AC0"/>
    <w:rsid w:val="00C51DC2"/>
    <w:rsid w:val="00C53B9D"/>
    <w:rsid w:val="00C53DB4"/>
    <w:rsid w:val="00C5420D"/>
    <w:rsid w:val="00C543AF"/>
    <w:rsid w:val="00C54A04"/>
    <w:rsid w:val="00C55BEF"/>
    <w:rsid w:val="00C55E98"/>
    <w:rsid w:val="00C56140"/>
    <w:rsid w:val="00C56BA8"/>
    <w:rsid w:val="00C56ED2"/>
    <w:rsid w:val="00C5705D"/>
    <w:rsid w:val="00C57301"/>
    <w:rsid w:val="00C574C2"/>
    <w:rsid w:val="00C57BA8"/>
    <w:rsid w:val="00C57CEE"/>
    <w:rsid w:val="00C60886"/>
    <w:rsid w:val="00C60A3F"/>
    <w:rsid w:val="00C60B07"/>
    <w:rsid w:val="00C617F9"/>
    <w:rsid w:val="00C61880"/>
    <w:rsid w:val="00C61A04"/>
    <w:rsid w:val="00C61E7B"/>
    <w:rsid w:val="00C62187"/>
    <w:rsid w:val="00C62505"/>
    <w:rsid w:val="00C629F2"/>
    <w:rsid w:val="00C62A74"/>
    <w:rsid w:val="00C6328A"/>
    <w:rsid w:val="00C638D5"/>
    <w:rsid w:val="00C63A38"/>
    <w:rsid w:val="00C6458B"/>
    <w:rsid w:val="00C64A69"/>
    <w:rsid w:val="00C6539E"/>
    <w:rsid w:val="00C65DBD"/>
    <w:rsid w:val="00C664FB"/>
    <w:rsid w:val="00C6712B"/>
    <w:rsid w:val="00C67286"/>
    <w:rsid w:val="00C673A6"/>
    <w:rsid w:val="00C67406"/>
    <w:rsid w:val="00C70253"/>
    <w:rsid w:val="00C70702"/>
    <w:rsid w:val="00C710F7"/>
    <w:rsid w:val="00C711A9"/>
    <w:rsid w:val="00C713D8"/>
    <w:rsid w:val="00C7164B"/>
    <w:rsid w:val="00C716A0"/>
    <w:rsid w:val="00C71C2B"/>
    <w:rsid w:val="00C71C96"/>
    <w:rsid w:val="00C732D6"/>
    <w:rsid w:val="00C733B2"/>
    <w:rsid w:val="00C73B41"/>
    <w:rsid w:val="00C740DB"/>
    <w:rsid w:val="00C74CBC"/>
    <w:rsid w:val="00C753E7"/>
    <w:rsid w:val="00C762BF"/>
    <w:rsid w:val="00C7670C"/>
    <w:rsid w:val="00C76C5D"/>
    <w:rsid w:val="00C77880"/>
    <w:rsid w:val="00C80676"/>
    <w:rsid w:val="00C81220"/>
    <w:rsid w:val="00C813C1"/>
    <w:rsid w:val="00C813D1"/>
    <w:rsid w:val="00C82944"/>
    <w:rsid w:val="00C82D73"/>
    <w:rsid w:val="00C82DBC"/>
    <w:rsid w:val="00C8317B"/>
    <w:rsid w:val="00C834EA"/>
    <w:rsid w:val="00C834ED"/>
    <w:rsid w:val="00C8359B"/>
    <w:rsid w:val="00C841E7"/>
    <w:rsid w:val="00C847DA"/>
    <w:rsid w:val="00C85E66"/>
    <w:rsid w:val="00C86405"/>
    <w:rsid w:val="00C872AB"/>
    <w:rsid w:val="00C87427"/>
    <w:rsid w:val="00C87839"/>
    <w:rsid w:val="00C90281"/>
    <w:rsid w:val="00C90C4D"/>
    <w:rsid w:val="00C91017"/>
    <w:rsid w:val="00C9199B"/>
    <w:rsid w:val="00C921B6"/>
    <w:rsid w:val="00C921C3"/>
    <w:rsid w:val="00C92886"/>
    <w:rsid w:val="00C939DC"/>
    <w:rsid w:val="00C93D2A"/>
    <w:rsid w:val="00C93E29"/>
    <w:rsid w:val="00C941F7"/>
    <w:rsid w:val="00C946C0"/>
    <w:rsid w:val="00C9478F"/>
    <w:rsid w:val="00C947B8"/>
    <w:rsid w:val="00C94C0E"/>
    <w:rsid w:val="00C94C63"/>
    <w:rsid w:val="00C95119"/>
    <w:rsid w:val="00C95B19"/>
    <w:rsid w:val="00C95E38"/>
    <w:rsid w:val="00C975D3"/>
    <w:rsid w:val="00C978FD"/>
    <w:rsid w:val="00CA0305"/>
    <w:rsid w:val="00CA0399"/>
    <w:rsid w:val="00CA046C"/>
    <w:rsid w:val="00CA0493"/>
    <w:rsid w:val="00CA092D"/>
    <w:rsid w:val="00CA1C1E"/>
    <w:rsid w:val="00CA1F2C"/>
    <w:rsid w:val="00CA1F5A"/>
    <w:rsid w:val="00CA2061"/>
    <w:rsid w:val="00CA2234"/>
    <w:rsid w:val="00CA2B85"/>
    <w:rsid w:val="00CA3021"/>
    <w:rsid w:val="00CA39F0"/>
    <w:rsid w:val="00CA3BAD"/>
    <w:rsid w:val="00CA41F8"/>
    <w:rsid w:val="00CA4B74"/>
    <w:rsid w:val="00CA4D07"/>
    <w:rsid w:val="00CA4E18"/>
    <w:rsid w:val="00CA5D0D"/>
    <w:rsid w:val="00CA600B"/>
    <w:rsid w:val="00CA6C41"/>
    <w:rsid w:val="00CB06D6"/>
    <w:rsid w:val="00CB0CFB"/>
    <w:rsid w:val="00CB10BA"/>
    <w:rsid w:val="00CB1131"/>
    <w:rsid w:val="00CB15DA"/>
    <w:rsid w:val="00CB19F0"/>
    <w:rsid w:val="00CB1A6E"/>
    <w:rsid w:val="00CB1B6A"/>
    <w:rsid w:val="00CB3114"/>
    <w:rsid w:val="00CB31D8"/>
    <w:rsid w:val="00CB40E9"/>
    <w:rsid w:val="00CB4562"/>
    <w:rsid w:val="00CB4709"/>
    <w:rsid w:val="00CB4AF8"/>
    <w:rsid w:val="00CB5362"/>
    <w:rsid w:val="00CB5B58"/>
    <w:rsid w:val="00CB5D0B"/>
    <w:rsid w:val="00CB6599"/>
    <w:rsid w:val="00CB6C92"/>
    <w:rsid w:val="00CB72E5"/>
    <w:rsid w:val="00CB74F8"/>
    <w:rsid w:val="00CB772F"/>
    <w:rsid w:val="00CB7B0D"/>
    <w:rsid w:val="00CC0076"/>
    <w:rsid w:val="00CC020B"/>
    <w:rsid w:val="00CC0AD5"/>
    <w:rsid w:val="00CC1446"/>
    <w:rsid w:val="00CC1702"/>
    <w:rsid w:val="00CC1A9D"/>
    <w:rsid w:val="00CC1D48"/>
    <w:rsid w:val="00CC2015"/>
    <w:rsid w:val="00CC232E"/>
    <w:rsid w:val="00CC233F"/>
    <w:rsid w:val="00CC32C3"/>
    <w:rsid w:val="00CC33F0"/>
    <w:rsid w:val="00CC3F68"/>
    <w:rsid w:val="00CC41DC"/>
    <w:rsid w:val="00CC50B6"/>
    <w:rsid w:val="00CC5468"/>
    <w:rsid w:val="00CC6840"/>
    <w:rsid w:val="00CC6927"/>
    <w:rsid w:val="00CC71D4"/>
    <w:rsid w:val="00CC77B6"/>
    <w:rsid w:val="00CC799F"/>
    <w:rsid w:val="00CC7DFA"/>
    <w:rsid w:val="00CD0B15"/>
    <w:rsid w:val="00CD0BCC"/>
    <w:rsid w:val="00CD1437"/>
    <w:rsid w:val="00CD2F3A"/>
    <w:rsid w:val="00CD304B"/>
    <w:rsid w:val="00CD3090"/>
    <w:rsid w:val="00CD3687"/>
    <w:rsid w:val="00CD371C"/>
    <w:rsid w:val="00CD3C00"/>
    <w:rsid w:val="00CD3FC0"/>
    <w:rsid w:val="00CD4EFD"/>
    <w:rsid w:val="00CD51DF"/>
    <w:rsid w:val="00CD581B"/>
    <w:rsid w:val="00CD5F4C"/>
    <w:rsid w:val="00CD6713"/>
    <w:rsid w:val="00CD6D85"/>
    <w:rsid w:val="00CD6DF9"/>
    <w:rsid w:val="00CE0D45"/>
    <w:rsid w:val="00CE0E85"/>
    <w:rsid w:val="00CE0FBA"/>
    <w:rsid w:val="00CE15D8"/>
    <w:rsid w:val="00CE20E2"/>
    <w:rsid w:val="00CE2322"/>
    <w:rsid w:val="00CE2668"/>
    <w:rsid w:val="00CE2FF0"/>
    <w:rsid w:val="00CE3C53"/>
    <w:rsid w:val="00CE45A6"/>
    <w:rsid w:val="00CE4EE5"/>
    <w:rsid w:val="00CE673E"/>
    <w:rsid w:val="00CE6751"/>
    <w:rsid w:val="00CE739C"/>
    <w:rsid w:val="00CE7543"/>
    <w:rsid w:val="00CE76FA"/>
    <w:rsid w:val="00CE7B35"/>
    <w:rsid w:val="00CF003B"/>
    <w:rsid w:val="00CF012E"/>
    <w:rsid w:val="00CF04C4"/>
    <w:rsid w:val="00CF07B9"/>
    <w:rsid w:val="00CF0CB2"/>
    <w:rsid w:val="00CF1174"/>
    <w:rsid w:val="00CF1E5A"/>
    <w:rsid w:val="00CF2B9B"/>
    <w:rsid w:val="00CF2E24"/>
    <w:rsid w:val="00CF3089"/>
    <w:rsid w:val="00CF39F9"/>
    <w:rsid w:val="00CF3D01"/>
    <w:rsid w:val="00CF4138"/>
    <w:rsid w:val="00CF5F44"/>
    <w:rsid w:val="00CF62F9"/>
    <w:rsid w:val="00CF685F"/>
    <w:rsid w:val="00CF703D"/>
    <w:rsid w:val="00CF71E8"/>
    <w:rsid w:val="00CF72AC"/>
    <w:rsid w:val="00CF7E13"/>
    <w:rsid w:val="00CF7E66"/>
    <w:rsid w:val="00D003CE"/>
    <w:rsid w:val="00D00FD3"/>
    <w:rsid w:val="00D00FF6"/>
    <w:rsid w:val="00D010A0"/>
    <w:rsid w:val="00D0121D"/>
    <w:rsid w:val="00D01A09"/>
    <w:rsid w:val="00D024CA"/>
    <w:rsid w:val="00D0319A"/>
    <w:rsid w:val="00D03839"/>
    <w:rsid w:val="00D03D19"/>
    <w:rsid w:val="00D04C1A"/>
    <w:rsid w:val="00D05547"/>
    <w:rsid w:val="00D05597"/>
    <w:rsid w:val="00D0574A"/>
    <w:rsid w:val="00D057FF"/>
    <w:rsid w:val="00D059CC"/>
    <w:rsid w:val="00D059DE"/>
    <w:rsid w:val="00D05B50"/>
    <w:rsid w:val="00D06001"/>
    <w:rsid w:val="00D07C72"/>
    <w:rsid w:val="00D10155"/>
    <w:rsid w:val="00D10460"/>
    <w:rsid w:val="00D10B79"/>
    <w:rsid w:val="00D1111C"/>
    <w:rsid w:val="00D11E15"/>
    <w:rsid w:val="00D122F5"/>
    <w:rsid w:val="00D1281F"/>
    <w:rsid w:val="00D12945"/>
    <w:rsid w:val="00D13260"/>
    <w:rsid w:val="00D133C2"/>
    <w:rsid w:val="00D138B0"/>
    <w:rsid w:val="00D1407D"/>
    <w:rsid w:val="00D14CDE"/>
    <w:rsid w:val="00D14D97"/>
    <w:rsid w:val="00D154AD"/>
    <w:rsid w:val="00D15895"/>
    <w:rsid w:val="00D15D1F"/>
    <w:rsid w:val="00D15F9F"/>
    <w:rsid w:val="00D166A8"/>
    <w:rsid w:val="00D16CEA"/>
    <w:rsid w:val="00D16F0F"/>
    <w:rsid w:val="00D16F8F"/>
    <w:rsid w:val="00D1783E"/>
    <w:rsid w:val="00D207A6"/>
    <w:rsid w:val="00D214DA"/>
    <w:rsid w:val="00D23313"/>
    <w:rsid w:val="00D23378"/>
    <w:rsid w:val="00D23602"/>
    <w:rsid w:val="00D23881"/>
    <w:rsid w:val="00D24AD7"/>
    <w:rsid w:val="00D25693"/>
    <w:rsid w:val="00D25879"/>
    <w:rsid w:val="00D25D17"/>
    <w:rsid w:val="00D25F7A"/>
    <w:rsid w:val="00D265CE"/>
    <w:rsid w:val="00D26DDB"/>
    <w:rsid w:val="00D2719A"/>
    <w:rsid w:val="00D27553"/>
    <w:rsid w:val="00D27D4D"/>
    <w:rsid w:val="00D309E2"/>
    <w:rsid w:val="00D31149"/>
    <w:rsid w:val="00D31E20"/>
    <w:rsid w:val="00D31F19"/>
    <w:rsid w:val="00D32C3C"/>
    <w:rsid w:val="00D32E76"/>
    <w:rsid w:val="00D32EBF"/>
    <w:rsid w:val="00D33426"/>
    <w:rsid w:val="00D33932"/>
    <w:rsid w:val="00D33DA5"/>
    <w:rsid w:val="00D34258"/>
    <w:rsid w:val="00D34DEA"/>
    <w:rsid w:val="00D3538B"/>
    <w:rsid w:val="00D35543"/>
    <w:rsid w:val="00D356DD"/>
    <w:rsid w:val="00D35860"/>
    <w:rsid w:val="00D3592D"/>
    <w:rsid w:val="00D35DE4"/>
    <w:rsid w:val="00D36185"/>
    <w:rsid w:val="00D36828"/>
    <w:rsid w:val="00D36C48"/>
    <w:rsid w:val="00D3777C"/>
    <w:rsid w:val="00D37824"/>
    <w:rsid w:val="00D401C2"/>
    <w:rsid w:val="00D409C7"/>
    <w:rsid w:val="00D41319"/>
    <w:rsid w:val="00D41365"/>
    <w:rsid w:val="00D41BCB"/>
    <w:rsid w:val="00D423F5"/>
    <w:rsid w:val="00D4266F"/>
    <w:rsid w:val="00D42B5B"/>
    <w:rsid w:val="00D42E6A"/>
    <w:rsid w:val="00D42EAF"/>
    <w:rsid w:val="00D430C7"/>
    <w:rsid w:val="00D4326D"/>
    <w:rsid w:val="00D438BB"/>
    <w:rsid w:val="00D4401F"/>
    <w:rsid w:val="00D44CFA"/>
    <w:rsid w:val="00D44DC2"/>
    <w:rsid w:val="00D45D17"/>
    <w:rsid w:val="00D45F8C"/>
    <w:rsid w:val="00D465F6"/>
    <w:rsid w:val="00D46ECE"/>
    <w:rsid w:val="00D47B4F"/>
    <w:rsid w:val="00D47E17"/>
    <w:rsid w:val="00D510C9"/>
    <w:rsid w:val="00D510E7"/>
    <w:rsid w:val="00D515A1"/>
    <w:rsid w:val="00D51749"/>
    <w:rsid w:val="00D51824"/>
    <w:rsid w:val="00D51CE2"/>
    <w:rsid w:val="00D52240"/>
    <w:rsid w:val="00D5242B"/>
    <w:rsid w:val="00D525CE"/>
    <w:rsid w:val="00D526F4"/>
    <w:rsid w:val="00D5345B"/>
    <w:rsid w:val="00D5390A"/>
    <w:rsid w:val="00D5424E"/>
    <w:rsid w:val="00D5488D"/>
    <w:rsid w:val="00D54898"/>
    <w:rsid w:val="00D548F7"/>
    <w:rsid w:val="00D54B91"/>
    <w:rsid w:val="00D568EF"/>
    <w:rsid w:val="00D5702C"/>
    <w:rsid w:val="00D5714F"/>
    <w:rsid w:val="00D5716A"/>
    <w:rsid w:val="00D60741"/>
    <w:rsid w:val="00D61493"/>
    <w:rsid w:val="00D614CB"/>
    <w:rsid w:val="00D61788"/>
    <w:rsid w:val="00D61916"/>
    <w:rsid w:val="00D61949"/>
    <w:rsid w:val="00D64404"/>
    <w:rsid w:val="00D645C6"/>
    <w:rsid w:val="00D6469F"/>
    <w:rsid w:val="00D64D07"/>
    <w:rsid w:val="00D65F28"/>
    <w:rsid w:val="00D66183"/>
    <w:rsid w:val="00D665D0"/>
    <w:rsid w:val="00D66979"/>
    <w:rsid w:val="00D677EA"/>
    <w:rsid w:val="00D67C12"/>
    <w:rsid w:val="00D707B0"/>
    <w:rsid w:val="00D70CD9"/>
    <w:rsid w:val="00D70DF3"/>
    <w:rsid w:val="00D73611"/>
    <w:rsid w:val="00D73EDF"/>
    <w:rsid w:val="00D740DC"/>
    <w:rsid w:val="00D74110"/>
    <w:rsid w:val="00D74A4D"/>
    <w:rsid w:val="00D752BF"/>
    <w:rsid w:val="00D759D0"/>
    <w:rsid w:val="00D75AFC"/>
    <w:rsid w:val="00D76D3B"/>
    <w:rsid w:val="00D77695"/>
    <w:rsid w:val="00D80465"/>
    <w:rsid w:val="00D80674"/>
    <w:rsid w:val="00D8072B"/>
    <w:rsid w:val="00D8142A"/>
    <w:rsid w:val="00D81AF7"/>
    <w:rsid w:val="00D81C72"/>
    <w:rsid w:val="00D81F9E"/>
    <w:rsid w:val="00D82137"/>
    <w:rsid w:val="00D82433"/>
    <w:rsid w:val="00D8268A"/>
    <w:rsid w:val="00D82A15"/>
    <w:rsid w:val="00D82C7E"/>
    <w:rsid w:val="00D832DB"/>
    <w:rsid w:val="00D835F4"/>
    <w:rsid w:val="00D83F4A"/>
    <w:rsid w:val="00D8425D"/>
    <w:rsid w:val="00D84A36"/>
    <w:rsid w:val="00D84B0C"/>
    <w:rsid w:val="00D84F5F"/>
    <w:rsid w:val="00D84FDE"/>
    <w:rsid w:val="00D851EF"/>
    <w:rsid w:val="00D858FF"/>
    <w:rsid w:val="00D859C9"/>
    <w:rsid w:val="00D86FD7"/>
    <w:rsid w:val="00D90640"/>
    <w:rsid w:val="00D90C88"/>
    <w:rsid w:val="00D90DE6"/>
    <w:rsid w:val="00D9163E"/>
    <w:rsid w:val="00D919F3"/>
    <w:rsid w:val="00D91E8B"/>
    <w:rsid w:val="00D9285F"/>
    <w:rsid w:val="00D93415"/>
    <w:rsid w:val="00D93655"/>
    <w:rsid w:val="00D93681"/>
    <w:rsid w:val="00D94B57"/>
    <w:rsid w:val="00D9703F"/>
    <w:rsid w:val="00D9711E"/>
    <w:rsid w:val="00DA0246"/>
    <w:rsid w:val="00DA04B1"/>
    <w:rsid w:val="00DA06C5"/>
    <w:rsid w:val="00DA0938"/>
    <w:rsid w:val="00DA09E4"/>
    <w:rsid w:val="00DA0A38"/>
    <w:rsid w:val="00DA2B12"/>
    <w:rsid w:val="00DA3742"/>
    <w:rsid w:val="00DA42AA"/>
    <w:rsid w:val="00DA43A5"/>
    <w:rsid w:val="00DA4532"/>
    <w:rsid w:val="00DA4855"/>
    <w:rsid w:val="00DA49DD"/>
    <w:rsid w:val="00DA5CBE"/>
    <w:rsid w:val="00DA6B02"/>
    <w:rsid w:val="00DA6C2F"/>
    <w:rsid w:val="00DA7993"/>
    <w:rsid w:val="00DA79D0"/>
    <w:rsid w:val="00DA7E17"/>
    <w:rsid w:val="00DB0173"/>
    <w:rsid w:val="00DB04B0"/>
    <w:rsid w:val="00DB061B"/>
    <w:rsid w:val="00DB09F7"/>
    <w:rsid w:val="00DB0B13"/>
    <w:rsid w:val="00DB0BF6"/>
    <w:rsid w:val="00DB0F59"/>
    <w:rsid w:val="00DB1A6E"/>
    <w:rsid w:val="00DB1F4D"/>
    <w:rsid w:val="00DB2FA8"/>
    <w:rsid w:val="00DB3931"/>
    <w:rsid w:val="00DB4530"/>
    <w:rsid w:val="00DB5510"/>
    <w:rsid w:val="00DB5BDE"/>
    <w:rsid w:val="00DB602F"/>
    <w:rsid w:val="00DB66D9"/>
    <w:rsid w:val="00DB6C70"/>
    <w:rsid w:val="00DB6D66"/>
    <w:rsid w:val="00DB78EB"/>
    <w:rsid w:val="00DC00EF"/>
    <w:rsid w:val="00DC04C0"/>
    <w:rsid w:val="00DC05D3"/>
    <w:rsid w:val="00DC093B"/>
    <w:rsid w:val="00DC0EF8"/>
    <w:rsid w:val="00DC1052"/>
    <w:rsid w:val="00DC1053"/>
    <w:rsid w:val="00DC11B3"/>
    <w:rsid w:val="00DC1DEE"/>
    <w:rsid w:val="00DC2026"/>
    <w:rsid w:val="00DC25F2"/>
    <w:rsid w:val="00DC2A7C"/>
    <w:rsid w:val="00DC2DD0"/>
    <w:rsid w:val="00DC3C29"/>
    <w:rsid w:val="00DC43AB"/>
    <w:rsid w:val="00DC4F3B"/>
    <w:rsid w:val="00DC560C"/>
    <w:rsid w:val="00DC5774"/>
    <w:rsid w:val="00DC5EA5"/>
    <w:rsid w:val="00DC6325"/>
    <w:rsid w:val="00DC7D11"/>
    <w:rsid w:val="00DD0AC8"/>
    <w:rsid w:val="00DD0CE3"/>
    <w:rsid w:val="00DD136C"/>
    <w:rsid w:val="00DD1E8E"/>
    <w:rsid w:val="00DD2140"/>
    <w:rsid w:val="00DD2205"/>
    <w:rsid w:val="00DD2224"/>
    <w:rsid w:val="00DD39EE"/>
    <w:rsid w:val="00DD3EF1"/>
    <w:rsid w:val="00DD417B"/>
    <w:rsid w:val="00DD4C1F"/>
    <w:rsid w:val="00DD4CA8"/>
    <w:rsid w:val="00DD5039"/>
    <w:rsid w:val="00DD51F5"/>
    <w:rsid w:val="00DD5663"/>
    <w:rsid w:val="00DD5726"/>
    <w:rsid w:val="00DD5DFD"/>
    <w:rsid w:val="00DD5E1A"/>
    <w:rsid w:val="00DD6E00"/>
    <w:rsid w:val="00DD6FEA"/>
    <w:rsid w:val="00DD715D"/>
    <w:rsid w:val="00DD761D"/>
    <w:rsid w:val="00DE0296"/>
    <w:rsid w:val="00DE0BD7"/>
    <w:rsid w:val="00DE13D6"/>
    <w:rsid w:val="00DE1519"/>
    <w:rsid w:val="00DE16C7"/>
    <w:rsid w:val="00DE1ED6"/>
    <w:rsid w:val="00DE2225"/>
    <w:rsid w:val="00DE2DD2"/>
    <w:rsid w:val="00DE3807"/>
    <w:rsid w:val="00DE50C3"/>
    <w:rsid w:val="00DE561C"/>
    <w:rsid w:val="00DE5AE8"/>
    <w:rsid w:val="00DE5E36"/>
    <w:rsid w:val="00DE61C6"/>
    <w:rsid w:val="00DE62FC"/>
    <w:rsid w:val="00DE6541"/>
    <w:rsid w:val="00DE68BE"/>
    <w:rsid w:val="00DE6A96"/>
    <w:rsid w:val="00DE771D"/>
    <w:rsid w:val="00DE7C76"/>
    <w:rsid w:val="00DE7E15"/>
    <w:rsid w:val="00DF01EF"/>
    <w:rsid w:val="00DF0E52"/>
    <w:rsid w:val="00DF16AC"/>
    <w:rsid w:val="00DF1E17"/>
    <w:rsid w:val="00DF2543"/>
    <w:rsid w:val="00DF2A61"/>
    <w:rsid w:val="00DF2CD7"/>
    <w:rsid w:val="00DF2D77"/>
    <w:rsid w:val="00DF4882"/>
    <w:rsid w:val="00DF51F8"/>
    <w:rsid w:val="00DF56E2"/>
    <w:rsid w:val="00DF58F9"/>
    <w:rsid w:val="00DF5B22"/>
    <w:rsid w:val="00DF6294"/>
    <w:rsid w:val="00DF6860"/>
    <w:rsid w:val="00DF73D8"/>
    <w:rsid w:val="00DF7C55"/>
    <w:rsid w:val="00E0048A"/>
    <w:rsid w:val="00E010C3"/>
    <w:rsid w:val="00E0175A"/>
    <w:rsid w:val="00E02418"/>
    <w:rsid w:val="00E0251D"/>
    <w:rsid w:val="00E03131"/>
    <w:rsid w:val="00E040CA"/>
    <w:rsid w:val="00E05D5E"/>
    <w:rsid w:val="00E05E34"/>
    <w:rsid w:val="00E060C7"/>
    <w:rsid w:val="00E0613C"/>
    <w:rsid w:val="00E06160"/>
    <w:rsid w:val="00E0674F"/>
    <w:rsid w:val="00E06CA7"/>
    <w:rsid w:val="00E0743E"/>
    <w:rsid w:val="00E109B7"/>
    <w:rsid w:val="00E109C6"/>
    <w:rsid w:val="00E10CFF"/>
    <w:rsid w:val="00E11286"/>
    <w:rsid w:val="00E11BCA"/>
    <w:rsid w:val="00E123B4"/>
    <w:rsid w:val="00E12681"/>
    <w:rsid w:val="00E126AD"/>
    <w:rsid w:val="00E136D1"/>
    <w:rsid w:val="00E13A58"/>
    <w:rsid w:val="00E1430B"/>
    <w:rsid w:val="00E143F5"/>
    <w:rsid w:val="00E14979"/>
    <w:rsid w:val="00E14DFC"/>
    <w:rsid w:val="00E15200"/>
    <w:rsid w:val="00E1525E"/>
    <w:rsid w:val="00E1650B"/>
    <w:rsid w:val="00E1653D"/>
    <w:rsid w:val="00E166AF"/>
    <w:rsid w:val="00E1702E"/>
    <w:rsid w:val="00E20131"/>
    <w:rsid w:val="00E21342"/>
    <w:rsid w:val="00E22404"/>
    <w:rsid w:val="00E2457F"/>
    <w:rsid w:val="00E25DCB"/>
    <w:rsid w:val="00E2628F"/>
    <w:rsid w:val="00E266DB"/>
    <w:rsid w:val="00E26ACC"/>
    <w:rsid w:val="00E26D2A"/>
    <w:rsid w:val="00E277EF"/>
    <w:rsid w:val="00E27D3E"/>
    <w:rsid w:val="00E301AB"/>
    <w:rsid w:val="00E303A7"/>
    <w:rsid w:val="00E30B3A"/>
    <w:rsid w:val="00E31757"/>
    <w:rsid w:val="00E31A88"/>
    <w:rsid w:val="00E329C4"/>
    <w:rsid w:val="00E329C5"/>
    <w:rsid w:val="00E32CB1"/>
    <w:rsid w:val="00E3352D"/>
    <w:rsid w:val="00E33A61"/>
    <w:rsid w:val="00E3411B"/>
    <w:rsid w:val="00E347C6"/>
    <w:rsid w:val="00E35057"/>
    <w:rsid w:val="00E359CA"/>
    <w:rsid w:val="00E35A1E"/>
    <w:rsid w:val="00E37CD1"/>
    <w:rsid w:val="00E40E7A"/>
    <w:rsid w:val="00E41B70"/>
    <w:rsid w:val="00E42236"/>
    <w:rsid w:val="00E42668"/>
    <w:rsid w:val="00E42DF8"/>
    <w:rsid w:val="00E42DF9"/>
    <w:rsid w:val="00E433FE"/>
    <w:rsid w:val="00E4363F"/>
    <w:rsid w:val="00E45021"/>
    <w:rsid w:val="00E46787"/>
    <w:rsid w:val="00E47957"/>
    <w:rsid w:val="00E50416"/>
    <w:rsid w:val="00E51378"/>
    <w:rsid w:val="00E515C4"/>
    <w:rsid w:val="00E51BC7"/>
    <w:rsid w:val="00E5268C"/>
    <w:rsid w:val="00E5375A"/>
    <w:rsid w:val="00E54479"/>
    <w:rsid w:val="00E54805"/>
    <w:rsid w:val="00E549A9"/>
    <w:rsid w:val="00E54ED8"/>
    <w:rsid w:val="00E55298"/>
    <w:rsid w:val="00E563A7"/>
    <w:rsid w:val="00E60388"/>
    <w:rsid w:val="00E60A5E"/>
    <w:rsid w:val="00E60B64"/>
    <w:rsid w:val="00E619FB"/>
    <w:rsid w:val="00E62E51"/>
    <w:rsid w:val="00E6346B"/>
    <w:rsid w:val="00E63BA6"/>
    <w:rsid w:val="00E63CA4"/>
    <w:rsid w:val="00E64463"/>
    <w:rsid w:val="00E64C9F"/>
    <w:rsid w:val="00E6555E"/>
    <w:rsid w:val="00E65EB0"/>
    <w:rsid w:val="00E661E6"/>
    <w:rsid w:val="00E661EC"/>
    <w:rsid w:val="00E664D9"/>
    <w:rsid w:val="00E66559"/>
    <w:rsid w:val="00E66C8E"/>
    <w:rsid w:val="00E6745D"/>
    <w:rsid w:val="00E674ED"/>
    <w:rsid w:val="00E67616"/>
    <w:rsid w:val="00E67A7A"/>
    <w:rsid w:val="00E70229"/>
    <w:rsid w:val="00E70706"/>
    <w:rsid w:val="00E70E96"/>
    <w:rsid w:val="00E71C17"/>
    <w:rsid w:val="00E71ED5"/>
    <w:rsid w:val="00E721B7"/>
    <w:rsid w:val="00E725FC"/>
    <w:rsid w:val="00E7290B"/>
    <w:rsid w:val="00E73B83"/>
    <w:rsid w:val="00E74D96"/>
    <w:rsid w:val="00E74FE2"/>
    <w:rsid w:val="00E751CF"/>
    <w:rsid w:val="00E752F2"/>
    <w:rsid w:val="00E756CB"/>
    <w:rsid w:val="00E75F8A"/>
    <w:rsid w:val="00E76896"/>
    <w:rsid w:val="00E773CD"/>
    <w:rsid w:val="00E7745E"/>
    <w:rsid w:val="00E77621"/>
    <w:rsid w:val="00E777F1"/>
    <w:rsid w:val="00E77BDD"/>
    <w:rsid w:val="00E80240"/>
    <w:rsid w:val="00E80AE4"/>
    <w:rsid w:val="00E80C16"/>
    <w:rsid w:val="00E81CD0"/>
    <w:rsid w:val="00E8214A"/>
    <w:rsid w:val="00E82A8A"/>
    <w:rsid w:val="00E82D10"/>
    <w:rsid w:val="00E837A4"/>
    <w:rsid w:val="00E837AE"/>
    <w:rsid w:val="00E83BC0"/>
    <w:rsid w:val="00E841C2"/>
    <w:rsid w:val="00E84D10"/>
    <w:rsid w:val="00E852F7"/>
    <w:rsid w:val="00E8539B"/>
    <w:rsid w:val="00E86140"/>
    <w:rsid w:val="00E865CA"/>
    <w:rsid w:val="00E869D7"/>
    <w:rsid w:val="00E87559"/>
    <w:rsid w:val="00E87A30"/>
    <w:rsid w:val="00E87A50"/>
    <w:rsid w:val="00E87C4D"/>
    <w:rsid w:val="00E87C69"/>
    <w:rsid w:val="00E91482"/>
    <w:rsid w:val="00E91549"/>
    <w:rsid w:val="00E917F8"/>
    <w:rsid w:val="00E91C3B"/>
    <w:rsid w:val="00E91D2B"/>
    <w:rsid w:val="00E922A8"/>
    <w:rsid w:val="00E922D8"/>
    <w:rsid w:val="00E9250A"/>
    <w:rsid w:val="00E92BE5"/>
    <w:rsid w:val="00E92F3D"/>
    <w:rsid w:val="00E93C17"/>
    <w:rsid w:val="00E9447C"/>
    <w:rsid w:val="00E95614"/>
    <w:rsid w:val="00EA0711"/>
    <w:rsid w:val="00EA0956"/>
    <w:rsid w:val="00EA121E"/>
    <w:rsid w:val="00EA26FA"/>
    <w:rsid w:val="00EA31DC"/>
    <w:rsid w:val="00EA3E27"/>
    <w:rsid w:val="00EA4312"/>
    <w:rsid w:val="00EA4502"/>
    <w:rsid w:val="00EA4A5F"/>
    <w:rsid w:val="00EA54C9"/>
    <w:rsid w:val="00EA5524"/>
    <w:rsid w:val="00EA56D0"/>
    <w:rsid w:val="00EA5E18"/>
    <w:rsid w:val="00EA64FC"/>
    <w:rsid w:val="00EA67F8"/>
    <w:rsid w:val="00EA7094"/>
    <w:rsid w:val="00EA75E5"/>
    <w:rsid w:val="00EA7D0A"/>
    <w:rsid w:val="00EB0A7B"/>
    <w:rsid w:val="00EB1ECB"/>
    <w:rsid w:val="00EB26C2"/>
    <w:rsid w:val="00EB2D25"/>
    <w:rsid w:val="00EB3827"/>
    <w:rsid w:val="00EB382F"/>
    <w:rsid w:val="00EB3F31"/>
    <w:rsid w:val="00EB4014"/>
    <w:rsid w:val="00EB402F"/>
    <w:rsid w:val="00EB48F4"/>
    <w:rsid w:val="00EB595D"/>
    <w:rsid w:val="00EB59FC"/>
    <w:rsid w:val="00EB5C08"/>
    <w:rsid w:val="00EB6261"/>
    <w:rsid w:val="00EB69C7"/>
    <w:rsid w:val="00EB6C76"/>
    <w:rsid w:val="00EB74F1"/>
    <w:rsid w:val="00EB753B"/>
    <w:rsid w:val="00EB7946"/>
    <w:rsid w:val="00EB7EEF"/>
    <w:rsid w:val="00EC0550"/>
    <w:rsid w:val="00EC05B3"/>
    <w:rsid w:val="00EC0C7E"/>
    <w:rsid w:val="00EC191C"/>
    <w:rsid w:val="00EC1BDD"/>
    <w:rsid w:val="00EC1BEE"/>
    <w:rsid w:val="00EC1CCA"/>
    <w:rsid w:val="00EC1DCB"/>
    <w:rsid w:val="00EC2981"/>
    <w:rsid w:val="00EC2D27"/>
    <w:rsid w:val="00EC42F3"/>
    <w:rsid w:val="00EC4527"/>
    <w:rsid w:val="00EC5095"/>
    <w:rsid w:val="00EC50EF"/>
    <w:rsid w:val="00EC553B"/>
    <w:rsid w:val="00EC55C8"/>
    <w:rsid w:val="00EC5C7C"/>
    <w:rsid w:val="00EC5CDC"/>
    <w:rsid w:val="00EC77F8"/>
    <w:rsid w:val="00ED11F7"/>
    <w:rsid w:val="00ED12B6"/>
    <w:rsid w:val="00ED17C3"/>
    <w:rsid w:val="00ED18BF"/>
    <w:rsid w:val="00ED20CD"/>
    <w:rsid w:val="00ED2366"/>
    <w:rsid w:val="00ED2C14"/>
    <w:rsid w:val="00ED3420"/>
    <w:rsid w:val="00ED3492"/>
    <w:rsid w:val="00ED3835"/>
    <w:rsid w:val="00ED3A10"/>
    <w:rsid w:val="00ED3B36"/>
    <w:rsid w:val="00ED4FA5"/>
    <w:rsid w:val="00ED5308"/>
    <w:rsid w:val="00ED54F4"/>
    <w:rsid w:val="00ED5C82"/>
    <w:rsid w:val="00ED5F0A"/>
    <w:rsid w:val="00ED664A"/>
    <w:rsid w:val="00ED67A7"/>
    <w:rsid w:val="00ED6B26"/>
    <w:rsid w:val="00ED7DA5"/>
    <w:rsid w:val="00EE044D"/>
    <w:rsid w:val="00EE09AF"/>
    <w:rsid w:val="00EE0A0B"/>
    <w:rsid w:val="00EE10A3"/>
    <w:rsid w:val="00EE1454"/>
    <w:rsid w:val="00EE1AD6"/>
    <w:rsid w:val="00EE1B27"/>
    <w:rsid w:val="00EE24E2"/>
    <w:rsid w:val="00EE3D95"/>
    <w:rsid w:val="00EE4237"/>
    <w:rsid w:val="00EE51C1"/>
    <w:rsid w:val="00EE5204"/>
    <w:rsid w:val="00EE5BE2"/>
    <w:rsid w:val="00EE6B66"/>
    <w:rsid w:val="00EE7670"/>
    <w:rsid w:val="00EE79BA"/>
    <w:rsid w:val="00EE7B0F"/>
    <w:rsid w:val="00EF0C6A"/>
    <w:rsid w:val="00EF1156"/>
    <w:rsid w:val="00EF1804"/>
    <w:rsid w:val="00EF3A0C"/>
    <w:rsid w:val="00EF4939"/>
    <w:rsid w:val="00EF4BC1"/>
    <w:rsid w:val="00EF5B15"/>
    <w:rsid w:val="00EF5D4F"/>
    <w:rsid w:val="00EF5D60"/>
    <w:rsid w:val="00EF5F8C"/>
    <w:rsid w:val="00EF6A6A"/>
    <w:rsid w:val="00EF6BAA"/>
    <w:rsid w:val="00EF79F8"/>
    <w:rsid w:val="00F00051"/>
    <w:rsid w:val="00F01254"/>
    <w:rsid w:val="00F01AE7"/>
    <w:rsid w:val="00F024DB"/>
    <w:rsid w:val="00F02CE2"/>
    <w:rsid w:val="00F03562"/>
    <w:rsid w:val="00F03E50"/>
    <w:rsid w:val="00F045DF"/>
    <w:rsid w:val="00F05A53"/>
    <w:rsid w:val="00F0721A"/>
    <w:rsid w:val="00F075F6"/>
    <w:rsid w:val="00F100E4"/>
    <w:rsid w:val="00F11120"/>
    <w:rsid w:val="00F1138E"/>
    <w:rsid w:val="00F1157C"/>
    <w:rsid w:val="00F11EE2"/>
    <w:rsid w:val="00F11F62"/>
    <w:rsid w:val="00F12A36"/>
    <w:rsid w:val="00F1551E"/>
    <w:rsid w:val="00F16249"/>
    <w:rsid w:val="00F1647F"/>
    <w:rsid w:val="00F16D51"/>
    <w:rsid w:val="00F17225"/>
    <w:rsid w:val="00F176BD"/>
    <w:rsid w:val="00F17B20"/>
    <w:rsid w:val="00F20046"/>
    <w:rsid w:val="00F211ED"/>
    <w:rsid w:val="00F2121B"/>
    <w:rsid w:val="00F213C2"/>
    <w:rsid w:val="00F2179C"/>
    <w:rsid w:val="00F2377E"/>
    <w:rsid w:val="00F23FB1"/>
    <w:rsid w:val="00F2565C"/>
    <w:rsid w:val="00F2576C"/>
    <w:rsid w:val="00F25884"/>
    <w:rsid w:val="00F2605D"/>
    <w:rsid w:val="00F26551"/>
    <w:rsid w:val="00F268C9"/>
    <w:rsid w:val="00F26E20"/>
    <w:rsid w:val="00F300AA"/>
    <w:rsid w:val="00F30725"/>
    <w:rsid w:val="00F30A74"/>
    <w:rsid w:val="00F332F2"/>
    <w:rsid w:val="00F335BC"/>
    <w:rsid w:val="00F33813"/>
    <w:rsid w:val="00F342BC"/>
    <w:rsid w:val="00F34F5D"/>
    <w:rsid w:val="00F353C4"/>
    <w:rsid w:val="00F35451"/>
    <w:rsid w:val="00F360EA"/>
    <w:rsid w:val="00F3612A"/>
    <w:rsid w:val="00F362AD"/>
    <w:rsid w:val="00F3667C"/>
    <w:rsid w:val="00F36776"/>
    <w:rsid w:val="00F36E45"/>
    <w:rsid w:val="00F36F25"/>
    <w:rsid w:val="00F377E2"/>
    <w:rsid w:val="00F40018"/>
    <w:rsid w:val="00F40260"/>
    <w:rsid w:val="00F408C9"/>
    <w:rsid w:val="00F41901"/>
    <w:rsid w:val="00F42B50"/>
    <w:rsid w:val="00F43496"/>
    <w:rsid w:val="00F4402F"/>
    <w:rsid w:val="00F4484E"/>
    <w:rsid w:val="00F44951"/>
    <w:rsid w:val="00F455CA"/>
    <w:rsid w:val="00F466A6"/>
    <w:rsid w:val="00F4695F"/>
    <w:rsid w:val="00F47BE3"/>
    <w:rsid w:val="00F47BEB"/>
    <w:rsid w:val="00F47C1A"/>
    <w:rsid w:val="00F47D78"/>
    <w:rsid w:val="00F52245"/>
    <w:rsid w:val="00F53196"/>
    <w:rsid w:val="00F531DF"/>
    <w:rsid w:val="00F539E4"/>
    <w:rsid w:val="00F562B4"/>
    <w:rsid w:val="00F57191"/>
    <w:rsid w:val="00F578CE"/>
    <w:rsid w:val="00F600EE"/>
    <w:rsid w:val="00F60127"/>
    <w:rsid w:val="00F60661"/>
    <w:rsid w:val="00F60C9E"/>
    <w:rsid w:val="00F60ECA"/>
    <w:rsid w:val="00F61684"/>
    <w:rsid w:val="00F61B53"/>
    <w:rsid w:val="00F62891"/>
    <w:rsid w:val="00F62925"/>
    <w:rsid w:val="00F62B9C"/>
    <w:rsid w:val="00F6326B"/>
    <w:rsid w:val="00F63569"/>
    <w:rsid w:val="00F63B8C"/>
    <w:rsid w:val="00F65323"/>
    <w:rsid w:val="00F657CC"/>
    <w:rsid w:val="00F65DA2"/>
    <w:rsid w:val="00F66A19"/>
    <w:rsid w:val="00F675FC"/>
    <w:rsid w:val="00F676F6"/>
    <w:rsid w:val="00F6799B"/>
    <w:rsid w:val="00F67EFB"/>
    <w:rsid w:val="00F7086E"/>
    <w:rsid w:val="00F711CD"/>
    <w:rsid w:val="00F71663"/>
    <w:rsid w:val="00F72153"/>
    <w:rsid w:val="00F7220E"/>
    <w:rsid w:val="00F73786"/>
    <w:rsid w:val="00F74356"/>
    <w:rsid w:val="00F74FAC"/>
    <w:rsid w:val="00F76A36"/>
    <w:rsid w:val="00F7703A"/>
    <w:rsid w:val="00F770B8"/>
    <w:rsid w:val="00F77116"/>
    <w:rsid w:val="00F772F8"/>
    <w:rsid w:val="00F77674"/>
    <w:rsid w:val="00F77F93"/>
    <w:rsid w:val="00F80207"/>
    <w:rsid w:val="00F80964"/>
    <w:rsid w:val="00F80FDF"/>
    <w:rsid w:val="00F813E1"/>
    <w:rsid w:val="00F81504"/>
    <w:rsid w:val="00F81F3C"/>
    <w:rsid w:val="00F81F86"/>
    <w:rsid w:val="00F820E2"/>
    <w:rsid w:val="00F820FA"/>
    <w:rsid w:val="00F823A2"/>
    <w:rsid w:val="00F82B4E"/>
    <w:rsid w:val="00F82BDC"/>
    <w:rsid w:val="00F830F8"/>
    <w:rsid w:val="00F8385A"/>
    <w:rsid w:val="00F83CD1"/>
    <w:rsid w:val="00F83DC0"/>
    <w:rsid w:val="00F83DF7"/>
    <w:rsid w:val="00F84A26"/>
    <w:rsid w:val="00F84D97"/>
    <w:rsid w:val="00F852B4"/>
    <w:rsid w:val="00F85CB2"/>
    <w:rsid w:val="00F86082"/>
    <w:rsid w:val="00F86C35"/>
    <w:rsid w:val="00F86F6A"/>
    <w:rsid w:val="00F8778F"/>
    <w:rsid w:val="00F879D5"/>
    <w:rsid w:val="00F901B2"/>
    <w:rsid w:val="00F90555"/>
    <w:rsid w:val="00F90629"/>
    <w:rsid w:val="00F90824"/>
    <w:rsid w:val="00F91D82"/>
    <w:rsid w:val="00F922EA"/>
    <w:rsid w:val="00F92DA4"/>
    <w:rsid w:val="00F9371B"/>
    <w:rsid w:val="00F941B9"/>
    <w:rsid w:val="00F94435"/>
    <w:rsid w:val="00F94660"/>
    <w:rsid w:val="00F95500"/>
    <w:rsid w:val="00F95848"/>
    <w:rsid w:val="00F969CE"/>
    <w:rsid w:val="00F96B56"/>
    <w:rsid w:val="00F96CF8"/>
    <w:rsid w:val="00F96DED"/>
    <w:rsid w:val="00F97037"/>
    <w:rsid w:val="00F974E1"/>
    <w:rsid w:val="00F97B37"/>
    <w:rsid w:val="00FA000A"/>
    <w:rsid w:val="00FA03E3"/>
    <w:rsid w:val="00FA08F4"/>
    <w:rsid w:val="00FA0D90"/>
    <w:rsid w:val="00FA0F60"/>
    <w:rsid w:val="00FA11E1"/>
    <w:rsid w:val="00FA1476"/>
    <w:rsid w:val="00FA213A"/>
    <w:rsid w:val="00FA383B"/>
    <w:rsid w:val="00FA3D56"/>
    <w:rsid w:val="00FA4777"/>
    <w:rsid w:val="00FA478B"/>
    <w:rsid w:val="00FA4D45"/>
    <w:rsid w:val="00FA56B8"/>
    <w:rsid w:val="00FA5EA6"/>
    <w:rsid w:val="00FA6050"/>
    <w:rsid w:val="00FA68B7"/>
    <w:rsid w:val="00FA6E04"/>
    <w:rsid w:val="00FA7209"/>
    <w:rsid w:val="00FA72A7"/>
    <w:rsid w:val="00FA7AE6"/>
    <w:rsid w:val="00FB09B2"/>
    <w:rsid w:val="00FB0EB6"/>
    <w:rsid w:val="00FB0F60"/>
    <w:rsid w:val="00FB19E0"/>
    <w:rsid w:val="00FB1A6B"/>
    <w:rsid w:val="00FB1EBE"/>
    <w:rsid w:val="00FB221D"/>
    <w:rsid w:val="00FB261E"/>
    <w:rsid w:val="00FB2BEA"/>
    <w:rsid w:val="00FB2D94"/>
    <w:rsid w:val="00FB32E5"/>
    <w:rsid w:val="00FB360F"/>
    <w:rsid w:val="00FB4011"/>
    <w:rsid w:val="00FB453B"/>
    <w:rsid w:val="00FB4EE3"/>
    <w:rsid w:val="00FB4FBB"/>
    <w:rsid w:val="00FB5263"/>
    <w:rsid w:val="00FB57FD"/>
    <w:rsid w:val="00FB60CD"/>
    <w:rsid w:val="00FB643C"/>
    <w:rsid w:val="00FB6934"/>
    <w:rsid w:val="00FB6A52"/>
    <w:rsid w:val="00FB6C97"/>
    <w:rsid w:val="00FB6D8E"/>
    <w:rsid w:val="00FB73E3"/>
    <w:rsid w:val="00FB7AE7"/>
    <w:rsid w:val="00FB7FFA"/>
    <w:rsid w:val="00FC0A8E"/>
    <w:rsid w:val="00FC0AFD"/>
    <w:rsid w:val="00FC1071"/>
    <w:rsid w:val="00FC19E6"/>
    <w:rsid w:val="00FC1CDB"/>
    <w:rsid w:val="00FC1F6D"/>
    <w:rsid w:val="00FC33D2"/>
    <w:rsid w:val="00FC3D58"/>
    <w:rsid w:val="00FC4FF7"/>
    <w:rsid w:val="00FC507C"/>
    <w:rsid w:val="00FC58D2"/>
    <w:rsid w:val="00FC5A08"/>
    <w:rsid w:val="00FC5BEB"/>
    <w:rsid w:val="00FC6000"/>
    <w:rsid w:val="00FC65C4"/>
    <w:rsid w:val="00FC77BC"/>
    <w:rsid w:val="00FC77D7"/>
    <w:rsid w:val="00FC7912"/>
    <w:rsid w:val="00FC7D7D"/>
    <w:rsid w:val="00FD02BD"/>
    <w:rsid w:val="00FD05F0"/>
    <w:rsid w:val="00FD113F"/>
    <w:rsid w:val="00FD2252"/>
    <w:rsid w:val="00FD2328"/>
    <w:rsid w:val="00FD2943"/>
    <w:rsid w:val="00FD38B0"/>
    <w:rsid w:val="00FD3E57"/>
    <w:rsid w:val="00FD4CA2"/>
    <w:rsid w:val="00FD4D3B"/>
    <w:rsid w:val="00FD50F9"/>
    <w:rsid w:val="00FD519B"/>
    <w:rsid w:val="00FD660D"/>
    <w:rsid w:val="00FD667B"/>
    <w:rsid w:val="00FD6C9F"/>
    <w:rsid w:val="00FD6E97"/>
    <w:rsid w:val="00FD7A82"/>
    <w:rsid w:val="00FD7B9A"/>
    <w:rsid w:val="00FE000D"/>
    <w:rsid w:val="00FE009C"/>
    <w:rsid w:val="00FE036F"/>
    <w:rsid w:val="00FE0652"/>
    <w:rsid w:val="00FE077E"/>
    <w:rsid w:val="00FE0901"/>
    <w:rsid w:val="00FE13DB"/>
    <w:rsid w:val="00FE162A"/>
    <w:rsid w:val="00FE3952"/>
    <w:rsid w:val="00FE462D"/>
    <w:rsid w:val="00FE46EB"/>
    <w:rsid w:val="00FE499E"/>
    <w:rsid w:val="00FE4A75"/>
    <w:rsid w:val="00FE4F7A"/>
    <w:rsid w:val="00FE5293"/>
    <w:rsid w:val="00FE56E9"/>
    <w:rsid w:val="00FE589B"/>
    <w:rsid w:val="00FE5D3B"/>
    <w:rsid w:val="00FE5F00"/>
    <w:rsid w:val="00FE66C5"/>
    <w:rsid w:val="00FE6994"/>
    <w:rsid w:val="00FE7465"/>
    <w:rsid w:val="00FE75D2"/>
    <w:rsid w:val="00FE771C"/>
    <w:rsid w:val="00FE7E80"/>
    <w:rsid w:val="00FE7F52"/>
    <w:rsid w:val="00FF12EF"/>
    <w:rsid w:val="00FF187C"/>
    <w:rsid w:val="00FF2360"/>
    <w:rsid w:val="00FF2390"/>
    <w:rsid w:val="00FF2D42"/>
    <w:rsid w:val="00FF2E92"/>
    <w:rsid w:val="00FF3240"/>
    <w:rsid w:val="00FF3510"/>
    <w:rsid w:val="00FF3C38"/>
    <w:rsid w:val="00FF4A6E"/>
    <w:rsid w:val="00FF4BB5"/>
    <w:rsid w:val="00FF4D6B"/>
    <w:rsid w:val="00FF50C5"/>
    <w:rsid w:val="00FF5829"/>
    <w:rsid w:val="00FF6710"/>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1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4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4C9"/>
  </w:style>
  <w:style w:type="paragraph" w:styleId="Altbilgi">
    <w:name w:val="footer"/>
    <w:basedOn w:val="Normal"/>
    <w:link w:val="AltbilgiChar"/>
    <w:uiPriority w:val="99"/>
    <w:semiHidden/>
    <w:unhideWhenUsed/>
    <w:rsid w:val="00EA54C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54C9"/>
  </w:style>
  <w:style w:type="paragraph" w:styleId="BalonMetni">
    <w:name w:val="Balloon Text"/>
    <w:basedOn w:val="Normal"/>
    <w:link w:val="BalonMetniChar"/>
    <w:uiPriority w:val="99"/>
    <w:semiHidden/>
    <w:unhideWhenUsed/>
    <w:rsid w:val="00EA5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54C9"/>
    <w:rPr>
      <w:rFonts w:ascii="Tahoma" w:hAnsi="Tahoma" w:cs="Tahoma"/>
      <w:sz w:val="16"/>
      <w:szCs w:val="16"/>
    </w:rPr>
  </w:style>
  <w:style w:type="paragraph" w:styleId="ListeParagraf">
    <w:name w:val="List Paragraph"/>
    <w:basedOn w:val="Normal"/>
    <w:uiPriority w:val="34"/>
    <w:qFormat/>
    <w:rsid w:val="00EF1804"/>
    <w:pPr>
      <w:ind w:left="720"/>
      <w:contextualSpacing/>
    </w:pPr>
  </w:style>
  <w:style w:type="character" w:styleId="Kpr">
    <w:name w:val="Hyperlink"/>
    <w:basedOn w:val="VarsaylanParagrafYazTipi"/>
    <w:uiPriority w:val="99"/>
    <w:unhideWhenUsed/>
    <w:rsid w:val="001A3FC0"/>
    <w:rPr>
      <w:color w:val="0000FF" w:themeColor="hyperlink"/>
      <w:u w:val="single"/>
    </w:rPr>
  </w:style>
  <w:style w:type="paragraph" w:styleId="DipnotMetni">
    <w:name w:val="footnote text"/>
    <w:basedOn w:val="Normal"/>
    <w:link w:val="DipnotMetniChar"/>
    <w:uiPriority w:val="99"/>
    <w:semiHidden/>
    <w:unhideWhenUsed/>
    <w:rsid w:val="006B78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7863"/>
    <w:rPr>
      <w:sz w:val="20"/>
      <w:szCs w:val="20"/>
      <w:lang w:val="en-US"/>
    </w:rPr>
  </w:style>
  <w:style w:type="character" w:styleId="DipnotBavurusu">
    <w:name w:val="footnote reference"/>
    <w:basedOn w:val="VarsaylanParagrafYazTipi"/>
    <w:uiPriority w:val="99"/>
    <w:semiHidden/>
    <w:unhideWhenUsed/>
    <w:rsid w:val="006B7863"/>
    <w:rPr>
      <w:vertAlign w:val="superscript"/>
    </w:rPr>
  </w:style>
  <w:style w:type="character" w:styleId="AklamaBavurusu">
    <w:name w:val="annotation reference"/>
    <w:basedOn w:val="VarsaylanParagrafYazTipi"/>
    <w:uiPriority w:val="99"/>
    <w:semiHidden/>
    <w:unhideWhenUsed/>
    <w:rsid w:val="00CE739C"/>
    <w:rPr>
      <w:sz w:val="16"/>
      <w:szCs w:val="16"/>
    </w:rPr>
  </w:style>
  <w:style w:type="paragraph" w:styleId="AklamaMetni">
    <w:name w:val="annotation text"/>
    <w:basedOn w:val="Normal"/>
    <w:link w:val="AklamaMetniChar"/>
    <w:uiPriority w:val="99"/>
    <w:semiHidden/>
    <w:unhideWhenUsed/>
    <w:rsid w:val="00CE73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739C"/>
    <w:rPr>
      <w:sz w:val="20"/>
      <w:szCs w:val="20"/>
      <w:lang w:val="en-US"/>
    </w:rPr>
  </w:style>
  <w:style w:type="character" w:styleId="zlenenKpr">
    <w:name w:val="FollowedHyperlink"/>
    <w:basedOn w:val="VarsaylanParagrafYazTipi"/>
    <w:uiPriority w:val="99"/>
    <w:semiHidden/>
    <w:unhideWhenUsed/>
    <w:rsid w:val="00CA1F5A"/>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0A4E13"/>
    <w:rPr>
      <w:b/>
      <w:bCs/>
    </w:rPr>
  </w:style>
  <w:style w:type="character" w:customStyle="1" w:styleId="AklamaKonusuChar">
    <w:name w:val="Açıklama Konusu Char"/>
    <w:basedOn w:val="AklamaMetniChar"/>
    <w:link w:val="AklamaKonusu"/>
    <w:uiPriority w:val="99"/>
    <w:semiHidden/>
    <w:rsid w:val="000A4E13"/>
    <w:rPr>
      <w:b/>
      <w:bCs/>
      <w:sz w:val="20"/>
      <w:szCs w:val="20"/>
      <w:lang w:val="en-US"/>
    </w:rPr>
  </w:style>
  <w:style w:type="character" w:styleId="Vurgu">
    <w:name w:val="Emphasis"/>
    <w:basedOn w:val="VarsaylanParagrafYazTipi"/>
    <w:uiPriority w:val="20"/>
    <w:qFormat/>
    <w:rsid w:val="003C1D35"/>
    <w:rPr>
      <w:i/>
      <w:iCs/>
    </w:rPr>
  </w:style>
  <w:style w:type="table" w:styleId="TabloKlavuzu">
    <w:name w:val="Table Grid"/>
    <w:basedOn w:val="NormalTablo"/>
    <w:uiPriority w:val="59"/>
    <w:rsid w:val="00C6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83A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8D7F-15A6-49C7-8775-6727A99A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3225</TotalTime>
  <Pages>30</Pages>
  <Words>8368</Words>
  <Characters>47702</Characters>
  <Application>Microsoft Office Word</Application>
  <DocSecurity>0</DocSecurity>
  <Lines>397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2798</cp:revision>
  <cp:lastPrinted>2012-03-14T17:52:00Z</cp:lastPrinted>
  <dcterms:created xsi:type="dcterms:W3CDTF">2012-03-14T02:28:00Z</dcterms:created>
  <dcterms:modified xsi:type="dcterms:W3CDTF">2013-04-21T22:19:00Z</dcterms:modified>
</cp:coreProperties>
</file>